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CD893" w14:textId="3E8E5979" w:rsidR="00C211B0" w:rsidRDefault="006778CD" w:rsidP="00B33496">
      <w:pPr>
        <w:jc w:val="right"/>
      </w:pPr>
      <w:r>
        <w:rPr>
          <w:noProof/>
          <w:lang w:eastAsia="en-IE"/>
        </w:rPr>
        <w:drawing>
          <wp:anchor distT="0" distB="0" distL="114300" distR="114300" simplePos="0" relativeHeight="251657216" behindDoc="0" locked="0" layoutInCell="1" allowOverlap="1" wp14:anchorId="0E9D9820" wp14:editId="11D2C193">
            <wp:simplePos x="0" y="0"/>
            <wp:positionH relativeFrom="column">
              <wp:posOffset>4754245</wp:posOffset>
            </wp:positionH>
            <wp:positionV relativeFrom="paragraph">
              <wp:posOffset>-609600</wp:posOffset>
            </wp:positionV>
            <wp:extent cx="1311910" cy="8394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AI_Standards_ 2C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1910" cy="839470"/>
                    </a:xfrm>
                    <a:prstGeom prst="rect">
                      <a:avLst/>
                    </a:prstGeom>
                  </pic:spPr>
                </pic:pic>
              </a:graphicData>
            </a:graphic>
            <wp14:sizeRelH relativeFrom="margin">
              <wp14:pctWidth>0</wp14:pctWidth>
            </wp14:sizeRelH>
            <wp14:sizeRelV relativeFrom="margin">
              <wp14:pctHeight>0</wp14:pctHeight>
            </wp14:sizeRelV>
          </wp:anchor>
        </w:drawing>
      </w:r>
      <w:r w:rsidRPr="00B141A6">
        <w:rPr>
          <w:noProof/>
        </w:rPr>
        <w:drawing>
          <wp:anchor distT="0" distB="0" distL="114300" distR="114300" simplePos="0" relativeHeight="251662336" behindDoc="0" locked="0" layoutInCell="1" allowOverlap="1" wp14:anchorId="7D8CB469" wp14:editId="72571523">
            <wp:simplePos x="0" y="0"/>
            <wp:positionH relativeFrom="column">
              <wp:posOffset>4114800</wp:posOffset>
            </wp:positionH>
            <wp:positionV relativeFrom="paragraph">
              <wp:posOffset>-411480</wp:posOffset>
            </wp:positionV>
            <wp:extent cx="555625" cy="497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1468"/>
                    <a:stretch/>
                  </pic:blipFill>
                  <pic:spPr bwMode="auto">
                    <a:xfrm>
                      <a:off x="0" y="0"/>
                      <a:ext cx="555625" cy="497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4E3F">
        <w:tab/>
      </w:r>
      <w:r w:rsidR="00B44E3F">
        <w:tab/>
      </w:r>
      <w:r w:rsidR="00B44E3F">
        <w:tab/>
      </w:r>
      <w:r w:rsidR="00B44E3F">
        <w:tab/>
      </w:r>
      <w:r w:rsidR="00B44E3F">
        <w:tab/>
      </w:r>
      <w:r w:rsidR="00B44E3F">
        <w:tab/>
      </w:r>
      <w:r w:rsidR="00B33496">
        <w:tab/>
      </w:r>
    </w:p>
    <w:p w14:paraId="29CD3F05" w14:textId="77777777" w:rsidR="00C211B0" w:rsidRDefault="00C211B0"/>
    <w:p w14:paraId="45CF27D5" w14:textId="65CFB0C6" w:rsidR="000B768A" w:rsidRPr="00230BAF" w:rsidRDefault="000B768A" w:rsidP="00230BAF">
      <w:pPr>
        <w:jc w:val="center"/>
        <w:rPr>
          <w:b/>
        </w:rPr>
      </w:pPr>
      <w:r w:rsidRPr="00A76C29">
        <w:rPr>
          <w:b/>
          <w:sz w:val="28"/>
        </w:rPr>
        <w:t>Latest news from ISO TC 276 and NSAI TC 62</w:t>
      </w:r>
    </w:p>
    <w:p w14:paraId="4621D96D" w14:textId="77777777" w:rsidR="00A76A45" w:rsidRDefault="00A76A45" w:rsidP="000B768A"/>
    <w:p w14:paraId="7FC15E1C" w14:textId="1194DFD5" w:rsidR="00A76C29" w:rsidRDefault="00EB7D85" w:rsidP="00EB7D85">
      <w:r>
        <w:t>The National Standards Authority of Ireland, NSAI is a member body of ISO.  Through this membership, national stakeholders can access information and draft developing standards.  NSAI TC 62</w:t>
      </w:r>
      <w:r w:rsidR="005157F9">
        <w:t xml:space="preserve"> </w:t>
      </w:r>
      <w:r w:rsidR="00A76C29">
        <w:t>–</w:t>
      </w:r>
      <w:r w:rsidR="005157F9">
        <w:t xml:space="preserve"> </w:t>
      </w:r>
      <w:r w:rsidR="00020F74">
        <w:t>NSAI Biotechnology Standards Consultative Committee</w:t>
      </w:r>
      <w:r>
        <w:t xml:space="preserve">, chaired by Dr Suzanne bracken of </w:t>
      </w:r>
      <w:r w:rsidR="00CA7798">
        <w:t>HRB-CRCI (</w:t>
      </w:r>
      <w:r>
        <w:t xml:space="preserve">Clinical Research </w:t>
      </w:r>
      <w:r w:rsidR="00CA7798">
        <w:t xml:space="preserve">Coordination </w:t>
      </w:r>
      <w:r>
        <w:t>Ireland</w:t>
      </w:r>
      <w:r w:rsidR="00CA7798">
        <w:t>)</w:t>
      </w:r>
      <w:r w:rsidR="00B35B29">
        <w:t>,</w:t>
      </w:r>
      <w:r w:rsidR="005157F9">
        <w:t xml:space="preserve"> </w:t>
      </w:r>
      <w:r>
        <w:t xml:space="preserve">is the national forum for contribution to </w:t>
      </w:r>
      <w:r w:rsidR="00A76C29">
        <w:br/>
      </w:r>
      <w:r>
        <w:t>ISO TC 276</w:t>
      </w:r>
      <w:r w:rsidR="00B35B29">
        <w:t xml:space="preserve"> (Biotechnology)</w:t>
      </w:r>
      <w:r w:rsidR="005157F9">
        <w:t>.</w:t>
      </w:r>
    </w:p>
    <w:p w14:paraId="32FED59A" w14:textId="77777777" w:rsidR="00A76C29" w:rsidRDefault="00A76C29" w:rsidP="00EB7D85">
      <w:bookmarkStart w:id="0" w:name="_GoBack"/>
      <w:bookmarkEnd w:id="0"/>
    </w:p>
    <w:p w14:paraId="41B9EEC3" w14:textId="384465B6" w:rsidR="00EB7D85" w:rsidRDefault="005157F9" w:rsidP="00EB7D85">
      <w:r>
        <w:t xml:space="preserve">This is </w:t>
      </w:r>
      <w:r w:rsidR="00CA7798">
        <w:t>facilitate</w:t>
      </w:r>
      <w:r>
        <w:t>d</w:t>
      </w:r>
      <w:r w:rsidR="00CA7798">
        <w:t xml:space="preserve"> by:</w:t>
      </w:r>
      <w:r w:rsidR="00EB7D85">
        <w:t xml:space="preserve"> </w:t>
      </w:r>
    </w:p>
    <w:p w14:paraId="506CC2DE" w14:textId="77777777" w:rsidR="00A76C29" w:rsidRDefault="00EB7D85" w:rsidP="00A76C29">
      <w:pPr>
        <w:pStyle w:val="ListParagraph"/>
        <w:numPr>
          <w:ilvl w:val="0"/>
          <w:numId w:val="11"/>
        </w:numPr>
      </w:pPr>
      <w:r>
        <w:t>Ensur</w:t>
      </w:r>
      <w:r w:rsidR="00CA7798">
        <w:t>ing</w:t>
      </w:r>
      <w:r>
        <w:t xml:space="preserve"> national experts can access international working groups and working documents</w:t>
      </w:r>
    </w:p>
    <w:p w14:paraId="10529F18" w14:textId="3992A4BB" w:rsidR="00A76C29" w:rsidRDefault="00EB7D85" w:rsidP="00A76C29">
      <w:pPr>
        <w:pStyle w:val="ListParagraph"/>
        <w:numPr>
          <w:ilvl w:val="0"/>
          <w:numId w:val="11"/>
        </w:numPr>
      </w:pPr>
      <w:r>
        <w:t>Nominat</w:t>
      </w:r>
      <w:r w:rsidR="00CA7798">
        <w:t>ing</w:t>
      </w:r>
      <w:r>
        <w:t xml:space="preserve"> national experts to get involved in relevant international working groups</w:t>
      </w:r>
      <w:r w:rsidR="00B35B29">
        <w:t xml:space="preserve"> and attend international meetings</w:t>
      </w:r>
    </w:p>
    <w:p w14:paraId="4BA600E4" w14:textId="77777777" w:rsidR="00A76C29" w:rsidRDefault="00EB7D85" w:rsidP="00A76C29">
      <w:pPr>
        <w:pStyle w:val="ListParagraph"/>
        <w:numPr>
          <w:ilvl w:val="0"/>
          <w:numId w:val="11"/>
        </w:numPr>
      </w:pPr>
      <w:r>
        <w:t>Monitor</w:t>
      </w:r>
      <w:r w:rsidR="00CA7798">
        <w:t>ing</w:t>
      </w:r>
      <w:r>
        <w:t xml:space="preserve"> output of ISO TC 276 to ensure national interests are addressed</w:t>
      </w:r>
    </w:p>
    <w:p w14:paraId="068424A2" w14:textId="77777777" w:rsidR="00A76C29" w:rsidRDefault="00EB7D85" w:rsidP="00A76C29">
      <w:pPr>
        <w:pStyle w:val="ListParagraph"/>
        <w:numPr>
          <w:ilvl w:val="0"/>
          <w:numId w:val="11"/>
        </w:numPr>
      </w:pPr>
      <w:r>
        <w:t>Provid</w:t>
      </w:r>
      <w:r w:rsidR="00CA7798">
        <w:t>ing</w:t>
      </w:r>
      <w:r>
        <w:t xml:space="preserve"> comment and national input on the development of international standards to ensure national stakeholders are not disadvantaged</w:t>
      </w:r>
    </w:p>
    <w:p w14:paraId="15098D2D" w14:textId="749801A6" w:rsidR="00EB7D85" w:rsidRDefault="00EB7D85" w:rsidP="00A76C29">
      <w:pPr>
        <w:pStyle w:val="ListParagraph"/>
        <w:numPr>
          <w:ilvl w:val="0"/>
          <w:numId w:val="11"/>
        </w:numPr>
      </w:pPr>
      <w:r>
        <w:t>Keep</w:t>
      </w:r>
      <w:r w:rsidR="00324CE9">
        <w:t>ing</w:t>
      </w:r>
      <w:r>
        <w:t xml:space="preserve"> national stakeholder informed of relevant international biotechnology standards information in the field</w:t>
      </w:r>
    </w:p>
    <w:p w14:paraId="0CD0CFA0" w14:textId="77777777" w:rsidR="00EB7D85" w:rsidRDefault="00EB7D85" w:rsidP="000B768A"/>
    <w:p w14:paraId="53F44C7C" w14:textId="175B9C2A" w:rsidR="00E024AD" w:rsidRPr="00E024AD" w:rsidRDefault="000B768A" w:rsidP="000B768A">
      <w:r>
        <w:t xml:space="preserve">One of the outputs of </w:t>
      </w:r>
      <w:r w:rsidR="005157F9">
        <w:t>ISO TC 276</w:t>
      </w:r>
      <w:r>
        <w:t xml:space="preserve"> includes </w:t>
      </w:r>
      <w:r w:rsidRPr="00DF3E20">
        <w:rPr>
          <w:i/>
        </w:rPr>
        <w:t xml:space="preserve">ISO 20387 – </w:t>
      </w:r>
      <w:r w:rsidR="00E024AD">
        <w:rPr>
          <w:i/>
        </w:rPr>
        <w:t xml:space="preserve">Biotechnology - </w:t>
      </w:r>
      <w:r w:rsidRPr="00DF3E20">
        <w:rPr>
          <w:i/>
        </w:rPr>
        <w:t>Biobanking – General requirements for biobanking</w:t>
      </w:r>
      <w:r w:rsidR="00625A4C">
        <w:rPr>
          <w:i/>
        </w:rPr>
        <w:t xml:space="preserve"> </w:t>
      </w:r>
      <w:r w:rsidR="00B35B29" w:rsidRPr="005B0645">
        <w:t>which was</w:t>
      </w:r>
      <w:r w:rsidR="00B35B29">
        <w:rPr>
          <w:i/>
        </w:rPr>
        <w:t xml:space="preserve"> </w:t>
      </w:r>
      <w:r w:rsidR="00625A4C">
        <w:t xml:space="preserve">published </w:t>
      </w:r>
      <w:r w:rsidR="00B35B29">
        <w:t>in 2018. A</w:t>
      </w:r>
      <w:r w:rsidR="00625A4C">
        <w:t>n implementation guide</w:t>
      </w:r>
      <w:r w:rsidR="00E024AD">
        <w:t xml:space="preserve"> to this standard is also being developed ISO TR 22758 – </w:t>
      </w:r>
      <w:r w:rsidR="00E024AD">
        <w:rPr>
          <w:i/>
        </w:rPr>
        <w:t>Biotechnology – biobanking – implementation guide for ISO 20387</w:t>
      </w:r>
      <w:r w:rsidR="00B35B29">
        <w:rPr>
          <w:i/>
        </w:rPr>
        <w:t xml:space="preserve"> and is </w:t>
      </w:r>
      <w:r w:rsidR="00E024AD">
        <w:t xml:space="preserve">due for publication in 2020. </w:t>
      </w:r>
    </w:p>
    <w:p w14:paraId="648350B2" w14:textId="7E779D47" w:rsidR="008658A5" w:rsidRDefault="00625A4C" w:rsidP="000B768A">
      <w:r>
        <w:t xml:space="preserve"> </w:t>
      </w:r>
    </w:p>
    <w:p w14:paraId="7AC1E696" w14:textId="4EC6C8A4" w:rsidR="000B768A" w:rsidRDefault="00324CE9" w:rsidP="000B768A">
      <w:r>
        <w:t>An update of current developments under each WG under ISO TC 276 is outlined below.</w:t>
      </w:r>
    </w:p>
    <w:p w14:paraId="3498F3C4" w14:textId="77777777" w:rsidR="00EB7D85" w:rsidRDefault="00EB7D85" w:rsidP="000B768A"/>
    <w:p w14:paraId="64526328" w14:textId="6964F1D6" w:rsidR="000B768A" w:rsidRDefault="006F3EDB" w:rsidP="000B768A">
      <w:r w:rsidRPr="0040029A">
        <w:rPr>
          <w:b/>
        </w:rPr>
        <w:t>WG1</w:t>
      </w:r>
      <w:r w:rsidR="00E4483C">
        <w:rPr>
          <w:b/>
        </w:rPr>
        <w:t>: Terminology</w:t>
      </w:r>
      <w:r w:rsidR="00CC3A08">
        <w:rPr>
          <w:b/>
        </w:rPr>
        <w:t xml:space="preserve"> -</w:t>
      </w:r>
      <w:r>
        <w:t xml:space="preserve"> is working on terminology co-ordination to ensure clear understanding and use of terms among ISO TC 276 Working Groups.  The proposed TR of terms is to be used as in internal TC document and is to be maintained as an "inventory" of terms</w:t>
      </w:r>
      <w:r w:rsidR="009A379A">
        <w:t xml:space="preserve">.  </w:t>
      </w:r>
    </w:p>
    <w:p w14:paraId="1216488D" w14:textId="61D19285" w:rsidR="0040029A" w:rsidRDefault="0040029A" w:rsidP="000B768A"/>
    <w:p w14:paraId="3EE035C6" w14:textId="678BC3DC" w:rsidR="00CA7798" w:rsidRDefault="0040029A" w:rsidP="00A76C29">
      <w:pPr>
        <w:ind w:right="-188"/>
      </w:pPr>
      <w:r w:rsidRPr="0040029A">
        <w:rPr>
          <w:b/>
        </w:rPr>
        <w:t>WG2</w:t>
      </w:r>
      <w:r w:rsidR="00E4483C">
        <w:rPr>
          <w:b/>
        </w:rPr>
        <w:t>:</w:t>
      </w:r>
      <w:r w:rsidR="00E4483C" w:rsidRPr="00E4483C">
        <w:t xml:space="preserve"> </w:t>
      </w:r>
      <w:r w:rsidR="00E4483C" w:rsidRPr="00E4483C">
        <w:rPr>
          <w:b/>
        </w:rPr>
        <w:t>Biobanks and bioresources</w:t>
      </w:r>
      <w:r w:rsidR="00E4483C">
        <w:rPr>
          <w:b/>
        </w:rPr>
        <w:t xml:space="preserve"> - </w:t>
      </w:r>
      <w:r w:rsidR="00CA7798">
        <w:t xml:space="preserve">has developed ISO 20387, the main biobanking standard, which is now published. This is viewed as the "umbrella" standard for this group – see Figure </w:t>
      </w:r>
      <w:r w:rsidR="00C200ED">
        <w:t>1</w:t>
      </w:r>
      <w:r w:rsidR="00CA7798">
        <w:t>.</w:t>
      </w:r>
    </w:p>
    <w:p w14:paraId="6EBE8B72" w14:textId="77777777" w:rsidR="00A76C29" w:rsidRDefault="00A76C29" w:rsidP="00A76C29"/>
    <w:p w14:paraId="40C94A63" w14:textId="60977050" w:rsidR="00A76C29" w:rsidRDefault="00A76C29" w:rsidP="00A76C29">
      <w:r>
        <w:t xml:space="preserve">WG2 is </w:t>
      </w:r>
      <w:r w:rsidR="00E4483C">
        <w:t xml:space="preserve">also </w:t>
      </w:r>
      <w:r>
        <w:t xml:space="preserve">looking at several </w:t>
      </w:r>
      <w:r w:rsidR="00E4483C">
        <w:t xml:space="preserve">specific </w:t>
      </w:r>
      <w:r>
        <w:t xml:space="preserve">areas for standard development relating to biobanking.  Cell culture, mesenchymal cells, animal genetic resources and plant genetic resources are topics that are being considered for standard development.  </w:t>
      </w:r>
      <w:r>
        <w:br/>
        <w:t xml:space="preserve">They are also developing a standard on validation and verification methods.  </w:t>
      </w:r>
    </w:p>
    <w:p w14:paraId="40F27139" w14:textId="77777777" w:rsidR="00A76C29" w:rsidRDefault="00A76C29" w:rsidP="00A76C29"/>
    <w:p w14:paraId="1423BAE1" w14:textId="00ACD93E" w:rsidR="00A76C29" w:rsidRDefault="00A76C29" w:rsidP="00A76C29">
      <w:r>
        <w:t xml:space="preserve">See </w:t>
      </w:r>
      <w:r w:rsidR="00694E59">
        <w:t xml:space="preserve">Appendix 1 for more details of </w:t>
      </w:r>
      <w:r>
        <w:t xml:space="preserve">WG2 </w:t>
      </w:r>
      <w:r w:rsidR="00CC3A08">
        <w:t xml:space="preserve">current work programme. </w:t>
      </w:r>
    </w:p>
    <w:p w14:paraId="6847C7E2" w14:textId="77777777" w:rsidR="00A76C29" w:rsidRDefault="00A76C29" w:rsidP="00A76C29"/>
    <w:p w14:paraId="31E4E9F7" w14:textId="0216C5E4" w:rsidR="00CA7798" w:rsidRDefault="00CA7798" w:rsidP="000B768A"/>
    <w:p w14:paraId="3EB26F4E" w14:textId="5E64E081" w:rsidR="00CC3A08" w:rsidRDefault="00CC3A08" w:rsidP="000B768A"/>
    <w:p w14:paraId="5F05AC4C" w14:textId="77777777" w:rsidR="00CC3A08" w:rsidRDefault="00CC3A08" w:rsidP="000B768A"/>
    <w:p w14:paraId="2F8BDE5F" w14:textId="23DEA08E" w:rsidR="00A76C29" w:rsidRDefault="00A76C29" w:rsidP="000B768A"/>
    <w:p w14:paraId="69DF6C1A" w14:textId="77777777" w:rsidR="00A76C29" w:rsidRPr="00CA7798" w:rsidRDefault="00A76C29" w:rsidP="00A76C29">
      <w:pPr>
        <w:jc w:val="center"/>
        <w:rPr>
          <w:b/>
        </w:rPr>
      </w:pPr>
      <w:r>
        <w:rPr>
          <w:b/>
        </w:rPr>
        <w:t>Figure 1 Overview of ISO TC 276 WG2 Work Programme</w:t>
      </w:r>
    </w:p>
    <w:p w14:paraId="2EC22A59" w14:textId="77777777" w:rsidR="00A76C29" w:rsidRDefault="00A76C29" w:rsidP="000B768A"/>
    <w:p w14:paraId="6327B6BD" w14:textId="700D2F16" w:rsidR="00CA7798" w:rsidRDefault="00CA7798" w:rsidP="000B768A">
      <w:r w:rsidRPr="00CA7798">
        <w:rPr>
          <w:noProof/>
        </w:rPr>
        <w:drawing>
          <wp:inline distT="0" distB="0" distL="0" distR="0" wp14:anchorId="44D46411" wp14:editId="21518910">
            <wp:extent cx="5419725" cy="2943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19725" cy="2943225"/>
                    </a:xfrm>
                    <a:prstGeom prst="rect">
                      <a:avLst/>
                    </a:prstGeom>
                  </pic:spPr>
                </pic:pic>
              </a:graphicData>
            </a:graphic>
          </wp:inline>
        </w:drawing>
      </w:r>
    </w:p>
    <w:p w14:paraId="2376169B" w14:textId="635C85C0" w:rsidR="00333225" w:rsidRDefault="00333225" w:rsidP="00BC68A2"/>
    <w:p w14:paraId="5A619D21" w14:textId="77777777" w:rsidR="00E4483C" w:rsidRDefault="00E4483C" w:rsidP="00BC68A2">
      <w:pPr>
        <w:rPr>
          <w:b/>
        </w:rPr>
      </w:pPr>
    </w:p>
    <w:p w14:paraId="3F77F902" w14:textId="77777777" w:rsidR="00E4483C" w:rsidRDefault="00E4483C" w:rsidP="00BC68A2">
      <w:pPr>
        <w:rPr>
          <w:b/>
        </w:rPr>
      </w:pPr>
    </w:p>
    <w:p w14:paraId="6562D827" w14:textId="18628290" w:rsidR="00E85E56" w:rsidRDefault="00BD6D79" w:rsidP="00BC68A2">
      <w:r>
        <w:rPr>
          <w:b/>
        </w:rPr>
        <w:t>WG3</w:t>
      </w:r>
      <w:r w:rsidR="00E4483C">
        <w:rPr>
          <w:b/>
        </w:rPr>
        <w:t xml:space="preserve">: </w:t>
      </w:r>
      <w:r w:rsidR="00E4483C" w:rsidRPr="00E4483C">
        <w:rPr>
          <w:b/>
        </w:rPr>
        <w:t>Analytical methods</w:t>
      </w:r>
      <w:r w:rsidR="00E4483C">
        <w:rPr>
          <w:b/>
        </w:rPr>
        <w:t xml:space="preserve"> -</w:t>
      </w:r>
      <w:r w:rsidR="00E85E56">
        <w:t xml:space="preserve"> is developing a suite of analytical methods for biotechnology. The approach tak</w:t>
      </w:r>
      <w:r w:rsidR="005157F9">
        <w:t>en</w:t>
      </w:r>
      <w:r w:rsidR="00E85E56">
        <w:t xml:space="preserve"> is to develop "umbrella standards"</w:t>
      </w:r>
      <w:r w:rsidR="005157F9">
        <w:t xml:space="preserve"> and </w:t>
      </w:r>
      <w:r w:rsidR="00E85E56">
        <w:t>"</w:t>
      </w:r>
      <w:r w:rsidR="005157F9">
        <w:t>v</w:t>
      </w:r>
      <w:r w:rsidR="00E85E56">
        <w:t>ertical standards</w:t>
      </w:r>
      <w:r w:rsidR="005157F9">
        <w:t xml:space="preserve">".  Umbrella standards will deal with topics such as proteins, products containing human cells for therapeutic use, oligonucleotides, genomes and delivery systems/vectors. </w:t>
      </w:r>
      <w:r w:rsidR="00E85E56">
        <w:t xml:space="preserve"> </w:t>
      </w:r>
      <w:r w:rsidR="005157F9">
        <w:t xml:space="preserve">Vertical standards will address </w:t>
      </w:r>
      <w:r w:rsidR="00E85E56">
        <w:t xml:space="preserve">attributes, techniques and materials.  For </w:t>
      </w:r>
      <w:r w:rsidR="005157F9">
        <w:t>example,</w:t>
      </w:r>
      <w:r w:rsidR="00E85E56">
        <w:t xml:space="preserve"> attribute standards being developed include cell counting, cell line authentication, viability.  For more </w:t>
      </w:r>
      <w:r w:rsidR="007122A5">
        <w:t xml:space="preserve">information </w:t>
      </w:r>
      <w:r w:rsidR="00E85E56">
        <w:t xml:space="preserve">see </w:t>
      </w:r>
      <w:r w:rsidR="00C200ED">
        <w:t>F</w:t>
      </w:r>
      <w:r w:rsidR="00E85E56">
        <w:t xml:space="preserve">igure </w:t>
      </w:r>
      <w:r w:rsidR="00C200ED">
        <w:t>2</w:t>
      </w:r>
      <w:r w:rsidR="007122A5">
        <w:t xml:space="preserve">. </w:t>
      </w:r>
    </w:p>
    <w:p w14:paraId="2AD4A534" w14:textId="47FAB6E0" w:rsidR="00E85E56" w:rsidRDefault="00E85E56" w:rsidP="00BC68A2"/>
    <w:p w14:paraId="78468B62" w14:textId="77E5BAE4" w:rsidR="00CC3A08" w:rsidRDefault="00CC3A08" w:rsidP="00BC68A2"/>
    <w:p w14:paraId="433FB337" w14:textId="7DCB1E84" w:rsidR="005B0645" w:rsidRDefault="005B0645" w:rsidP="00BC68A2"/>
    <w:p w14:paraId="745EB07A" w14:textId="6FA52257" w:rsidR="005B0645" w:rsidRDefault="005B0645" w:rsidP="00BC68A2"/>
    <w:p w14:paraId="2D2364B5" w14:textId="41DB4C65" w:rsidR="005B0645" w:rsidRDefault="005B0645" w:rsidP="00BC68A2"/>
    <w:p w14:paraId="150E93F6" w14:textId="6B4F12F7" w:rsidR="005B0645" w:rsidRDefault="005B0645" w:rsidP="00BC68A2"/>
    <w:p w14:paraId="53977C53" w14:textId="758959E2" w:rsidR="005B0645" w:rsidRDefault="005B0645" w:rsidP="00BC68A2"/>
    <w:p w14:paraId="314A3C39" w14:textId="07F519C6" w:rsidR="005B0645" w:rsidRDefault="005B0645" w:rsidP="00BC68A2"/>
    <w:p w14:paraId="60EA63D8" w14:textId="1B054809" w:rsidR="005B0645" w:rsidRDefault="005B0645" w:rsidP="00BC68A2"/>
    <w:p w14:paraId="34A950B2" w14:textId="5E8984D2" w:rsidR="005B0645" w:rsidRDefault="005B0645" w:rsidP="00BC68A2"/>
    <w:p w14:paraId="5CB9430E" w14:textId="4A4E56F6" w:rsidR="005B0645" w:rsidRDefault="005B0645" w:rsidP="00BC68A2"/>
    <w:p w14:paraId="3A6B0444" w14:textId="368F89EF" w:rsidR="005B0645" w:rsidRDefault="005B0645" w:rsidP="00BC68A2"/>
    <w:p w14:paraId="3BAB5883" w14:textId="376F6664" w:rsidR="005B0645" w:rsidRDefault="005B0645" w:rsidP="00BC68A2"/>
    <w:p w14:paraId="47B7EB23" w14:textId="75C46B43" w:rsidR="005B0645" w:rsidRDefault="005B0645" w:rsidP="00BC68A2"/>
    <w:p w14:paraId="0B53E979" w14:textId="2D306B73" w:rsidR="005B0645" w:rsidRDefault="005B0645" w:rsidP="00BC68A2"/>
    <w:p w14:paraId="3596DFDD" w14:textId="7816E6E4" w:rsidR="005B0645" w:rsidRDefault="005B0645" w:rsidP="00BC68A2"/>
    <w:p w14:paraId="21A4AF38" w14:textId="45E2AA85" w:rsidR="005B0645" w:rsidRDefault="005B0645" w:rsidP="00BC68A2"/>
    <w:p w14:paraId="23B48C7B" w14:textId="77777777" w:rsidR="005B0645" w:rsidRDefault="005B0645" w:rsidP="00BC68A2"/>
    <w:p w14:paraId="679F4D2F" w14:textId="0858E081" w:rsidR="00E85E56" w:rsidRDefault="00E85E56" w:rsidP="00CC3A08">
      <w:pPr>
        <w:jc w:val="center"/>
        <w:rPr>
          <w:b/>
        </w:rPr>
      </w:pPr>
      <w:r>
        <w:rPr>
          <w:b/>
        </w:rPr>
        <w:lastRenderedPageBreak/>
        <w:t xml:space="preserve">Figure </w:t>
      </w:r>
      <w:r w:rsidR="00C200ED">
        <w:rPr>
          <w:b/>
        </w:rPr>
        <w:t>2</w:t>
      </w:r>
      <w:r>
        <w:rPr>
          <w:b/>
        </w:rPr>
        <w:t xml:space="preserve"> – ISO TC 276 WG3 Programme: suite of analytical methods for biotechnology</w:t>
      </w:r>
    </w:p>
    <w:p w14:paraId="5230B488" w14:textId="7B85AB67" w:rsidR="00E85E56" w:rsidRDefault="00CC3A08" w:rsidP="00E85E56">
      <w:pPr>
        <w:jc w:val="center"/>
        <w:rPr>
          <w:b/>
        </w:rPr>
      </w:pPr>
      <w:r w:rsidRPr="00E85E56">
        <w:rPr>
          <w:b/>
          <w:noProof/>
        </w:rPr>
        <w:drawing>
          <wp:inline distT="0" distB="0" distL="0" distR="0" wp14:anchorId="520D913E" wp14:editId="3D4BD37C">
            <wp:extent cx="5567680" cy="2828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99678" cy="2845183"/>
                    </a:xfrm>
                    <a:prstGeom prst="rect">
                      <a:avLst/>
                    </a:prstGeom>
                  </pic:spPr>
                </pic:pic>
              </a:graphicData>
            </a:graphic>
          </wp:inline>
        </w:drawing>
      </w:r>
    </w:p>
    <w:p w14:paraId="360F9863" w14:textId="0F55E33D" w:rsidR="00E85E56" w:rsidRDefault="00E85E56" w:rsidP="00BC68A2">
      <w:pPr>
        <w:rPr>
          <w:b/>
        </w:rPr>
      </w:pPr>
    </w:p>
    <w:p w14:paraId="5A95B06B" w14:textId="77777777" w:rsidR="00324CE9" w:rsidRDefault="00324CE9" w:rsidP="00BC68A2"/>
    <w:p w14:paraId="2D8E9642" w14:textId="30B0FC30" w:rsidR="00E85E56" w:rsidRPr="005157F9" w:rsidRDefault="00E85E56" w:rsidP="00BC68A2"/>
    <w:p w14:paraId="57F2A355" w14:textId="3E91E540" w:rsidR="00BD6D79" w:rsidRPr="00694E59" w:rsidRDefault="00BD6D79" w:rsidP="00BC68A2">
      <w:pPr>
        <w:rPr>
          <w:b/>
        </w:rPr>
      </w:pPr>
      <w:r>
        <w:rPr>
          <w:b/>
        </w:rPr>
        <w:t>WG4</w:t>
      </w:r>
      <w:r w:rsidR="00E4483C">
        <w:rPr>
          <w:b/>
        </w:rPr>
        <w:t xml:space="preserve">: </w:t>
      </w:r>
      <w:r w:rsidR="00E4483C" w:rsidRPr="00E4483C">
        <w:rPr>
          <w:b/>
        </w:rPr>
        <w:t>Bioprocessing</w:t>
      </w:r>
      <w:r w:rsidR="00E4483C">
        <w:rPr>
          <w:b/>
        </w:rPr>
        <w:t xml:space="preserve"> -</w:t>
      </w:r>
      <w:r w:rsidR="005157F9">
        <w:t xml:space="preserve"> plans to develop standards to ensure consistent, controlled and tracked processes to give confidence to suppliers and users of products. The group is working on four major technology spaces:</w:t>
      </w:r>
    </w:p>
    <w:p w14:paraId="351F35B0" w14:textId="7DE13A75" w:rsidR="005157F9" w:rsidRDefault="005157F9" w:rsidP="005157F9">
      <w:pPr>
        <w:pStyle w:val="ListParagraph"/>
        <w:numPr>
          <w:ilvl w:val="0"/>
          <w:numId w:val="6"/>
        </w:numPr>
      </w:pPr>
      <w:r>
        <w:t>Component material control</w:t>
      </w:r>
    </w:p>
    <w:p w14:paraId="43A22C9F" w14:textId="02C8B11E" w:rsidR="005157F9" w:rsidRDefault="005157F9" w:rsidP="00A76C29">
      <w:pPr>
        <w:pStyle w:val="ListParagraph"/>
        <w:numPr>
          <w:ilvl w:val="0"/>
          <w:numId w:val="6"/>
        </w:numPr>
        <w:ind w:right="-188"/>
      </w:pPr>
      <w:r>
        <w:t>Upstream processes (e.g. cell cultivation, fermentation and bioconversion)</w:t>
      </w:r>
    </w:p>
    <w:p w14:paraId="208E0640" w14:textId="683F6C44" w:rsidR="005157F9" w:rsidRDefault="005157F9" w:rsidP="00A76C29">
      <w:pPr>
        <w:pStyle w:val="ListParagraph"/>
        <w:numPr>
          <w:ilvl w:val="0"/>
          <w:numId w:val="6"/>
        </w:numPr>
        <w:ind w:right="-472"/>
      </w:pPr>
      <w:r>
        <w:t>Downstream processes (e.g. collection separation, purification and formulation)</w:t>
      </w:r>
    </w:p>
    <w:p w14:paraId="64295887" w14:textId="6DB9A09D" w:rsidR="005157F9" w:rsidRDefault="005157F9" w:rsidP="005157F9">
      <w:pPr>
        <w:pStyle w:val="ListParagraph"/>
        <w:numPr>
          <w:ilvl w:val="0"/>
          <w:numId w:val="6"/>
        </w:numPr>
      </w:pPr>
      <w:r>
        <w:t xml:space="preserve">Handling, transportation and storage. </w:t>
      </w:r>
    </w:p>
    <w:p w14:paraId="2514F8B2" w14:textId="4AFBF31D" w:rsidR="00F25830" w:rsidRDefault="00F25830" w:rsidP="005157F9"/>
    <w:p w14:paraId="3EAA7B19" w14:textId="7D05336F" w:rsidR="00F25830" w:rsidRDefault="00F25830" w:rsidP="005157F9">
      <w:r>
        <w:t>The following standards are now published by ISO:</w:t>
      </w:r>
    </w:p>
    <w:p w14:paraId="7D9CEE1B" w14:textId="42C12940" w:rsidR="005157F9" w:rsidRDefault="00F25830" w:rsidP="00F25830">
      <w:pPr>
        <w:pStyle w:val="ListParagraph"/>
        <w:numPr>
          <w:ilvl w:val="0"/>
          <w:numId w:val="5"/>
        </w:numPr>
        <w:autoSpaceDE w:val="0"/>
        <w:autoSpaceDN w:val="0"/>
        <w:adjustRightInd w:val="0"/>
        <w:rPr>
          <w:i/>
        </w:rPr>
      </w:pPr>
      <w:r w:rsidRPr="00F25830">
        <w:rPr>
          <w:i/>
        </w:rPr>
        <w:t>ISO/TS 20399-1</w:t>
      </w:r>
      <w:r>
        <w:rPr>
          <w:i/>
        </w:rPr>
        <w:t>:2018</w:t>
      </w:r>
      <w:r w:rsidRPr="00F25830">
        <w:rPr>
          <w:i/>
        </w:rPr>
        <w:t xml:space="preserve"> - Biotechnology -- Ancillary materials present</w:t>
      </w:r>
      <w:r>
        <w:rPr>
          <w:i/>
        </w:rPr>
        <w:t xml:space="preserve"> </w:t>
      </w:r>
      <w:r w:rsidRPr="00F25830">
        <w:rPr>
          <w:i/>
        </w:rPr>
        <w:t>during the production of cellular therapeutic</w:t>
      </w:r>
      <w:r>
        <w:rPr>
          <w:i/>
        </w:rPr>
        <w:t xml:space="preserve"> </w:t>
      </w:r>
      <w:r w:rsidRPr="00F25830">
        <w:rPr>
          <w:i/>
        </w:rPr>
        <w:t>products -- Part 1: General requirements</w:t>
      </w:r>
      <w:r>
        <w:rPr>
          <w:i/>
        </w:rPr>
        <w:t>.</w:t>
      </w:r>
    </w:p>
    <w:p w14:paraId="5C931551" w14:textId="52A437C7" w:rsidR="00F25830" w:rsidRDefault="00F25830" w:rsidP="00F25830">
      <w:pPr>
        <w:pStyle w:val="ListParagraph"/>
        <w:numPr>
          <w:ilvl w:val="0"/>
          <w:numId w:val="5"/>
        </w:numPr>
        <w:autoSpaceDE w:val="0"/>
        <w:autoSpaceDN w:val="0"/>
        <w:adjustRightInd w:val="0"/>
        <w:rPr>
          <w:i/>
        </w:rPr>
      </w:pPr>
      <w:r>
        <w:rPr>
          <w:i/>
        </w:rPr>
        <w:t xml:space="preserve">ISO/TS 20399-2:2018 - </w:t>
      </w:r>
      <w:r w:rsidRPr="00F25830">
        <w:rPr>
          <w:i/>
        </w:rPr>
        <w:t>Biotechnology -- Ancillary materials present</w:t>
      </w:r>
      <w:r>
        <w:rPr>
          <w:i/>
        </w:rPr>
        <w:t xml:space="preserve"> </w:t>
      </w:r>
      <w:r w:rsidRPr="00F25830">
        <w:rPr>
          <w:i/>
        </w:rPr>
        <w:t>during the production of cellular therapeutic</w:t>
      </w:r>
      <w:r>
        <w:rPr>
          <w:i/>
        </w:rPr>
        <w:t xml:space="preserve"> </w:t>
      </w:r>
      <w:r w:rsidRPr="00F25830">
        <w:rPr>
          <w:i/>
        </w:rPr>
        <w:t>products -- Part 2: Best practice guidance for</w:t>
      </w:r>
      <w:r>
        <w:rPr>
          <w:i/>
        </w:rPr>
        <w:t xml:space="preserve"> </w:t>
      </w:r>
      <w:r w:rsidRPr="00F25830">
        <w:rPr>
          <w:i/>
        </w:rPr>
        <w:t>ancillary material suppliers</w:t>
      </w:r>
      <w:r>
        <w:rPr>
          <w:i/>
        </w:rPr>
        <w:t>.</w:t>
      </w:r>
    </w:p>
    <w:p w14:paraId="00FCAD35" w14:textId="445522C8" w:rsidR="00F25830" w:rsidRDefault="00F25830" w:rsidP="00F25830">
      <w:pPr>
        <w:pStyle w:val="ListParagraph"/>
        <w:numPr>
          <w:ilvl w:val="0"/>
          <w:numId w:val="5"/>
        </w:numPr>
        <w:autoSpaceDE w:val="0"/>
        <w:autoSpaceDN w:val="0"/>
        <w:adjustRightInd w:val="0"/>
        <w:rPr>
          <w:i/>
        </w:rPr>
      </w:pPr>
      <w:r>
        <w:rPr>
          <w:i/>
        </w:rPr>
        <w:t xml:space="preserve">ISO/TS 20399-3 - - </w:t>
      </w:r>
      <w:r w:rsidRPr="00F25830">
        <w:rPr>
          <w:i/>
        </w:rPr>
        <w:t>Biotechnology -- Ancillary materials present</w:t>
      </w:r>
      <w:r>
        <w:rPr>
          <w:i/>
        </w:rPr>
        <w:t xml:space="preserve"> </w:t>
      </w:r>
      <w:r w:rsidRPr="00F25830">
        <w:rPr>
          <w:i/>
        </w:rPr>
        <w:t>during the production of cellular therapeutic</w:t>
      </w:r>
      <w:r>
        <w:rPr>
          <w:i/>
        </w:rPr>
        <w:t xml:space="preserve"> </w:t>
      </w:r>
      <w:r w:rsidRPr="00F25830">
        <w:rPr>
          <w:i/>
        </w:rPr>
        <w:t>products</w:t>
      </w:r>
      <w:r>
        <w:rPr>
          <w:i/>
        </w:rPr>
        <w:t xml:space="preserve"> – Best practice guidance for ancillary material users.</w:t>
      </w:r>
    </w:p>
    <w:p w14:paraId="3EA5AA67" w14:textId="77777777" w:rsidR="00C200ED" w:rsidRDefault="00C200ED" w:rsidP="00F25830"/>
    <w:p w14:paraId="11241FFC" w14:textId="6BBC8CD9" w:rsidR="00F25830" w:rsidRPr="00F25830" w:rsidRDefault="00F25830" w:rsidP="00F25830">
      <w:r w:rsidRPr="00F25830">
        <w:t xml:space="preserve">The plan </w:t>
      </w:r>
      <w:r w:rsidR="00CC3A08">
        <w:t xml:space="preserve">is </w:t>
      </w:r>
      <w:r w:rsidRPr="00F25830">
        <w:t xml:space="preserve">to combine the above TS's documents into one standard </w:t>
      </w:r>
      <w:proofErr w:type="gramStart"/>
      <w:r w:rsidR="00C200ED">
        <w:t>in the near future</w:t>
      </w:r>
      <w:proofErr w:type="gramEnd"/>
      <w:r w:rsidRPr="00F25830">
        <w:t xml:space="preserve">. </w:t>
      </w:r>
    </w:p>
    <w:p w14:paraId="34C35B46" w14:textId="77777777" w:rsidR="00F25830" w:rsidRPr="00F25830" w:rsidRDefault="00F25830" w:rsidP="00BC68A2"/>
    <w:p w14:paraId="52CAD937" w14:textId="4B250259" w:rsidR="00F25830" w:rsidRDefault="00CC3A08" w:rsidP="00F25830">
      <w:r>
        <w:t xml:space="preserve">See appendix 1 for more information of the WG4 </w:t>
      </w:r>
      <w:r w:rsidR="00F25830">
        <w:t>work programme</w:t>
      </w:r>
      <w:r>
        <w:t xml:space="preserve">. </w:t>
      </w:r>
      <w:r w:rsidR="00F25830">
        <w:t xml:space="preserve"> </w:t>
      </w:r>
    </w:p>
    <w:p w14:paraId="0C725015" w14:textId="1876E729" w:rsidR="00F25830" w:rsidRDefault="00F25830" w:rsidP="00F25830"/>
    <w:p w14:paraId="475609DB" w14:textId="77777777" w:rsidR="003C5F88" w:rsidRPr="00F25830" w:rsidRDefault="003C5F88" w:rsidP="00BC68A2"/>
    <w:p w14:paraId="594C13BB" w14:textId="77777777" w:rsidR="00A76C29" w:rsidRDefault="00A76C29">
      <w:pPr>
        <w:rPr>
          <w:b/>
        </w:rPr>
      </w:pPr>
      <w:r>
        <w:rPr>
          <w:b/>
        </w:rPr>
        <w:br w:type="page"/>
      </w:r>
    </w:p>
    <w:p w14:paraId="3604FC25" w14:textId="566C3BC5" w:rsidR="003C5F88" w:rsidRPr="003C5F88" w:rsidRDefault="00BD6D79" w:rsidP="00C200ED">
      <w:r>
        <w:rPr>
          <w:b/>
        </w:rPr>
        <w:lastRenderedPageBreak/>
        <w:t>WG5</w:t>
      </w:r>
      <w:r w:rsidR="00E4483C">
        <w:rPr>
          <w:b/>
        </w:rPr>
        <w:t xml:space="preserve">: </w:t>
      </w:r>
      <w:r w:rsidR="00E4483C" w:rsidRPr="00E4483C">
        <w:rPr>
          <w:b/>
        </w:rPr>
        <w:t>Data processing and integration</w:t>
      </w:r>
      <w:r w:rsidR="00E4483C">
        <w:rPr>
          <w:b/>
        </w:rPr>
        <w:t xml:space="preserve"> -</w:t>
      </w:r>
      <w:r w:rsidR="003C5F88">
        <w:rPr>
          <w:b/>
        </w:rPr>
        <w:t xml:space="preserve"> </w:t>
      </w:r>
      <w:r w:rsidR="003C5F88">
        <w:t>is working on standards for data processing and integration in the context of biobanking, s</w:t>
      </w:r>
      <w:r w:rsidR="003C5F88" w:rsidRPr="003C5F88">
        <w:t xml:space="preserve">ee </w:t>
      </w:r>
      <w:r w:rsidR="008219CE">
        <w:t>Table</w:t>
      </w:r>
      <w:r w:rsidR="003C5F88" w:rsidRPr="003C5F88">
        <w:t xml:space="preserve"> 3 for the list of current projects under WG5.</w:t>
      </w:r>
    </w:p>
    <w:p w14:paraId="0AA62993" w14:textId="0376C078" w:rsidR="003C5F88" w:rsidRDefault="003C5F88" w:rsidP="00BC68A2"/>
    <w:p w14:paraId="7DC278BB" w14:textId="692442E0" w:rsidR="003C5F88" w:rsidRDefault="008219CE" w:rsidP="003C5F88">
      <w:pPr>
        <w:jc w:val="center"/>
        <w:rPr>
          <w:b/>
        </w:rPr>
      </w:pPr>
      <w:r>
        <w:rPr>
          <w:b/>
        </w:rPr>
        <w:t>Table</w:t>
      </w:r>
      <w:r w:rsidR="003C5F88">
        <w:rPr>
          <w:b/>
        </w:rPr>
        <w:t xml:space="preserve"> 3 - </w:t>
      </w:r>
      <w:r w:rsidR="00C200ED">
        <w:rPr>
          <w:b/>
        </w:rPr>
        <w:t>A</w:t>
      </w:r>
      <w:r w:rsidR="003C5F88">
        <w:rPr>
          <w:b/>
        </w:rPr>
        <w:t>pproved projects under WG5 work programme.</w:t>
      </w:r>
    </w:p>
    <w:p w14:paraId="7E86B26B" w14:textId="5AFB3333" w:rsidR="003C5F88" w:rsidRDefault="003C5F88" w:rsidP="003C5F88">
      <w:pPr>
        <w:jc w:val="center"/>
        <w:rPr>
          <w:b/>
        </w:rPr>
      </w:pPr>
    </w:p>
    <w:p w14:paraId="71E816F9" w14:textId="7065F33A" w:rsidR="003C5F88" w:rsidRDefault="003C5F88" w:rsidP="003C5F88">
      <w:pPr>
        <w:jc w:val="center"/>
        <w:rPr>
          <w:b/>
        </w:rPr>
      </w:pPr>
      <w:r w:rsidRPr="003C5F88">
        <w:rPr>
          <w:b/>
          <w:noProof/>
        </w:rPr>
        <w:drawing>
          <wp:inline distT="0" distB="0" distL="0" distR="0" wp14:anchorId="16CFDA5D" wp14:editId="68751CAD">
            <wp:extent cx="4848225" cy="3028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8147" cy="3035149"/>
                    </a:xfrm>
                    <a:prstGeom prst="rect">
                      <a:avLst/>
                    </a:prstGeom>
                  </pic:spPr>
                </pic:pic>
              </a:graphicData>
            </a:graphic>
          </wp:inline>
        </w:drawing>
      </w:r>
    </w:p>
    <w:p w14:paraId="1230E40C" w14:textId="3CAA3019" w:rsidR="003C5F88" w:rsidRDefault="003C5F88" w:rsidP="003C5F88">
      <w:pPr>
        <w:jc w:val="center"/>
        <w:rPr>
          <w:b/>
        </w:rPr>
      </w:pPr>
      <w:r w:rsidRPr="003C5F88">
        <w:rPr>
          <w:b/>
          <w:noProof/>
        </w:rPr>
        <w:drawing>
          <wp:inline distT="0" distB="0" distL="0" distR="0" wp14:anchorId="45B6E79D" wp14:editId="3A94759E">
            <wp:extent cx="4876800" cy="21348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8245"/>
                    <a:stretch/>
                  </pic:blipFill>
                  <pic:spPr bwMode="auto">
                    <a:xfrm>
                      <a:off x="0" y="0"/>
                      <a:ext cx="4944819" cy="2164646"/>
                    </a:xfrm>
                    <a:prstGeom prst="rect">
                      <a:avLst/>
                    </a:prstGeom>
                    <a:ln>
                      <a:noFill/>
                    </a:ln>
                    <a:extLst>
                      <a:ext uri="{53640926-AAD7-44D8-BBD7-CCE9431645EC}">
                        <a14:shadowObscured xmlns:a14="http://schemas.microsoft.com/office/drawing/2010/main"/>
                      </a:ext>
                    </a:extLst>
                  </pic:spPr>
                </pic:pic>
              </a:graphicData>
            </a:graphic>
          </wp:inline>
        </w:drawing>
      </w:r>
    </w:p>
    <w:p w14:paraId="68041309" w14:textId="1B05BC64" w:rsidR="003C5F88" w:rsidRDefault="003C5F88" w:rsidP="00836ED8">
      <w:pPr>
        <w:rPr>
          <w:b/>
        </w:rPr>
      </w:pPr>
    </w:p>
    <w:p w14:paraId="461908B1" w14:textId="39C02447" w:rsidR="00836ED8" w:rsidRDefault="00836ED8" w:rsidP="00836ED8">
      <w:r>
        <w:t>New areas being investigated for standardization include:</w:t>
      </w:r>
    </w:p>
    <w:p w14:paraId="1B3C7D2E" w14:textId="0B6A6F4F" w:rsidR="00836ED8" w:rsidRDefault="00836ED8" w:rsidP="00226BA8">
      <w:pPr>
        <w:pStyle w:val="ListParagraph"/>
        <w:numPr>
          <w:ilvl w:val="0"/>
          <w:numId w:val="9"/>
        </w:numPr>
      </w:pPr>
      <w:r>
        <w:t>Proposed Technical Report - Biotechnology – data publication – considerations and concepts</w:t>
      </w:r>
      <w:r w:rsidR="00226BA8">
        <w:t>.</w:t>
      </w:r>
    </w:p>
    <w:p w14:paraId="1EEC5622" w14:textId="14DF0660" w:rsidR="00226BA8" w:rsidRDefault="00226BA8" w:rsidP="00226BA8">
      <w:pPr>
        <w:pStyle w:val="ListParagraph"/>
        <w:numPr>
          <w:ilvl w:val="0"/>
          <w:numId w:val="9"/>
        </w:numPr>
      </w:pPr>
      <w:r>
        <w:t>ISO/PWI – General requirements for data processing of metagenomics.</w:t>
      </w:r>
    </w:p>
    <w:p w14:paraId="6FCFAD65" w14:textId="77777777" w:rsidR="00007DE4" w:rsidRDefault="00007DE4" w:rsidP="00BC68A2"/>
    <w:p w14:paraId="044DFF45" w14:textId="0B9E9BA6" w:rsidR="00C211B0" w:rsidRDefault="003C5F88" w:rsidP="00C211B0">
      <w:r>
        <w:t>S</w:t>
      </w:r>
      <w:r w:rsidR="00007DE4">
        <w:t xml:space="preserve">ee </w:t>
      </w:r>
      <w:r>
        <w:t xml:space="preserve">the link below for </w:t>
      </w:r>
      <w:r w:rsidR="00007DE4">
        <w:t xml:space="preserve">the </w:t>
      </w:r>
      <w:r w:rsidR="00333225">
        <w:t xml:space="preserve">current </w:t>
      </w:r>
      <w:r w:rsidR="00007DE4">
        <w:t>ISO TC 276</w:t>
      </w:r>
      <w:r w:rsidR="006E42C8">
        <w:t xml:space="preserve"> </w:t>
      </w:r>
      <w:r w:rsidR="00C211B0">
        <w:t>work programme:</w:t>
      </w:r>
    </w:p>
    <w:p w14:paraId="3F46AE11" w14:textId="7F727E09" w:rsidR="00C211B0" w:rsidRDefault="004D682D" w:rsidP="00C211B0">
      <w:pPr>
        <w:rPr>
          <w:rStyle w:val="Hyperlink"/>
        </w:rPr>
      </w:pPr>
      <w:hyperlink r:id="rId13" w:history="1">
        <w:r w:rsidR="00A76C29" w:rsidRPr="007B49A8">
          <w:rPr>
            <w:rStyle w:val="Hyperlink"/>
          </w:rPr>
          <w:t>www.iso.org/committee/4514241/x/catalogue/p/1/u/1/w/0/d/0</w:t>
        </w:r>
      </w:hyperlink>
    </w:p>
    <w:p w14:paraId="0EAAD5D6" w14:textId="77777777" w:rsidR="009F7248" w:rsidRPr="000761FA" w:rsidRDefault="009F7248" w:rsidP="009A18D9">
      <w:pPr>
        <w:pStyle w:val="Default"/>
        <w:rPr>
          <w:sz w:val="22"/>
          <w:szCs w:val="22"/>
        </w:rPr>
      </w:pPr>
    </w:p>
    <w:p w14:paraId="7A2C8338" w14:textId="77777777" w:rsidR="00BC68A2" w:rsidRPr="000761FA" w:rsidRDefault="00BC68A2" w:rsidP="009F7248">
      <w:pPr>
        <w:pStyle w:val="Default"/>
        <w:rPr>
          <w:sz w:val="22"/>
          <w:szCs w:val="22"/>
        </w:rPr>
      </w:pPr>
    </w:p>
    <w:p w14:paraId="18B2EB4A" w14:textId="18868D95" w:rsidR="0030074C" w:rsidRPr="000761FA" w:rsidRDefault="00BC68A2" w:rsidP="0030074C">
      <w:pPr>
        <w:pStyle w:val="Default"/>
        <w:rPr>
          <w:sz w:val="22"/>
          <w:szCs w:val="22"/>
        </w:rPr>
      </w:pPr>
      <w:r w:rsidRPr="000761FA">
        <w:rPr>
          <w:sz w:val="22"/>
          <w:szCs w:val="22"/>
        </w:rPr>
        <w:t xml:space="preserve">For more information on how to participate in this and other standard development, please </w:t>
      </w:r>
      <w:r w:rsidR="00507E94">
        <w:rPr>
          <w:sz w:val="22"/>
          <w:szCs w:val="22"/>
        </w:rPr>
        <w:t>contact</w:t>
      </w:r>
      <w:r w:rsidR="0030074C" w:rsidRPr="000761FA">
        <w:rPr>
          <w:sz w:val="22"/>
          <w:szCs w:val="22"/>
        </w:rPr>
        <w:t>:</w:t>
      </w:r>
    </w:p>
    <w:p w14:paraId="22F937BF" w14:textId="65A3D6B1" w:rsidR="0030074C" w:rsidRDefault="0030074C" w:rsidP="000761FA">
      <w:pPr>
        <w:pStyle w:val="Default"/>
        <w:numPr>
          <w:ilvl w:val="0"/>
          <w:numId w:val="3"/>
        </w:numPr>
        <w:rPr>
          <w:sz w:val="22"/>
          <w:szCs w:val="22"/>
        </w:rPr>
      </w:pPr>
      <w:r w:rsidRPr="000761FA">
        <w:rPr>
          <w:sz w:val="22"/>
          <w:szCs w:val="22"/>
        </w:rPr>
        <w:t xml:space="preserve">Linda Hendy, NSAI (Secretary) </w:t>
      </w:r>
      <w:hyperlink r:id="rId14" w:history="1">
        <w:r w:rsidR="000761FA" w:rsidRPr="008C3607">
          <w:rPr>
            <w:rStyle w:val="Hyperlink"/>
            <w:sz w:val="22"/>
            <w:szCs w:val="22"/>
          </w:rPr>
          <w:t>linda.hendy@nsai.ie</w:t>
        </w:r>
      </w:hyperlink>
    </w:p>
    <w:p w14:paraId="1B725D1E" w14:textId="697643D9" w:rsidR="00BC68A2" w:rsidRPr="005E2BCB" w:rsidRDefault="0030074C" w:rsidP="000761FA">
      <w:pPr>
        <w:pStyle w:val="Default"/>
        <w:numPr>
          <w:ilvl w:val="0"/>
          <w:numId w:val="3"/>
        </w:numPr>
        <w:rPr>
          <w:rStyle w:val="Hyperlink"/>
          <w:color w:val="000000"/>
          <w:sz w:val="22"/>
          <w:szCs w:val="22"/>
          <w:u w:val="none"/>
        </w:rPr>
      </w:pPr>
      <w:r w:rsidRPr="000761FA">
        <w:rPr>
          <w:sz w:val="22"/>
          <w:szCs w:val="22"/>
        </w:rPr>
        <w:t xml:space="preserve">Dr Suzanne Bracken, CRDI (Chair) </w:t>
      </w:r>
      <w:hyperlink r:id="rId15" w:history="1">
        <w:r w:rsidR="000761FA" w:rsidRPr="008C3607">
          <w:rPr>
            <w:rStyle w:val="Hyperlink"/>
            <w:sz w:val="22"/>
            <w:szCs w:val="22"/>
          </w:rPr>
          <w:t>suzanne.bracken@crdi.ie</w:t>
        </w:r>
      </w:hyperlink>
    </w:p>
    <w:p w14:paraId="7915C6D4" w14:textId="53799B8A" w:rsidR="005E2BCB" w:rsidRDefault="005E2BCB" w:rsidP="005E2BCB">
      <w:pPr>
        <w:pStyle w:val="Default"/>
        <w:rPr>
          <w:rStyle w:val="Hyperlink"/>
          <w:sz w:val="22"/>
          <w:szCs w:val="22"/>
        </w:rPr>
      </w:pPr>
    </w:p>
    <w:p w14:paraId="7B50E5F4" w14:textId="77777777" w:rsidR="005E2BCB" w:rsidRPr="00694E59" w:rsidRDefault="005E2BCB" w:rsidP="005E2BCB">
      <w:pPr>
        <w:pStyle w:val="Default"/>
        <w:rPr>
          <w:rStyle w:val="Hyperlink"/>
          <w:color w:val="000000"/>
          <w:sz w:val="22"/>
          <w:szCs w:val="22"/>
          <w:u w:val="none"/>
        </w:rPr>
      </w:pPr>
    </w:p>
    <w:p w14:paraId="33DF97D6" w14:textId="23D99714" w:rsidR="00694E59" w:rsidRDefault="00694E59" w:rsidP="00694E59">
      <w:pPr>
        <w:pStyle w:val="Default"/>
        <w:tabs>
          <w:tab w:val="left" w:pos="2340"/>
        </w:tabs>
        <w:ind w:left="720"/>
        <w:jc w:val="center"/>
        <w:rPr>
          <w:b/>
          <w:sz w:val="22"/>
          <w:szCs w:val="22"/>
        </w:rPr>
      </w:pPr>
      <w:r w:rsidRPr="00694E59">
        <w:rPr>
          <w:b/>
          <w:sz w:val="22"/>
          <w:szCs w:val="22"/>
        </w:rPr>
        <w:t xml:space="preserve">Appendix 1 – </w:t>
      </w:r>
      <w:r w:rsidR="00CC3A08">
        <w:rPr>
          <w:b/>
          <w:sz w:val="22"/>
          <w:szCs w:val="22"/>
        </w:rPr>
        <w:t xml:space="preserve">Details </w:t>
      </w:r>
      <w:r w:rsidRPr="00694E59">
        <w:rPr>
          <w:b/>
          <w:sz w:val="22"/>
          <w:szCs w:val="22"/>
        </w:rPr>
        <w:t>of Work Items (WI) being developed by ISO TC 276 Working Groups (WG)</w:t>
      </w:r>
    </w:p>
    <w:p w14:paraId="45E60D55" w14:textId="77777777" w:rsidR="00694E59" w:rsidRDefault="00694E59" w:rsidP="00694E59">
      <w:pPr>
        <w:pStyle w:val="Default"/>
        <w:tabs>
          <w:tab w:val="left" w:pos="2340"/>
        </w:tabs>
        <w:ind w:left="720"/>
        <w:rPr>
          <w:b/>
          <w:sz w:val="22"/>
          <w:szCs w:val="22"/>
        </w:rPr>
      </w:pPr>
    </w:p>
    <w:p w14:paraId="3FD573ED" w14:textId="778F0CAC" w:rsidR="00694E59" w:rsidRPr="00694E59" w:rsidRDefault="00694E59" w:rsidP="00694E59">
      <w:pPr>
        <w:pStyle w:val="Default"/>
        <w:tabs>
          <w:tab w:val="left" w:pos="2340"/>
        </w:tabs>
        <w:rPr>
          <w:b/>
          <w:sz w:val="22"/>
          <w:szCs w:val="22"/>
        </w:rPr>
      </w:pPr>
      <w:r w:rsidRPr="00694E59">
        <w:rPr>
          <w:b/>
          <w:sz w:val="22"/>
          <w:szCs w:val="22"/>
        </w:rPr>
        <w:t>WG2 – Biobanks and bioresources</w:t>
      </w:r>
    </w:p>
    <w:p w14:paraId="4728AA2D" w14:textId="042F6F3D" w:rsidR="00694E59" w:rsidRDefault="00694E59" w:rsidP="00694E59">
      <w:pPr>
        <w:pStyle w:val="Default"/>
        <w:tabs>
          <w:tab w:val="left" w:pos="2340"/>
        </w:tabs>
        <w:rPr>
          <w:sz w:val="22"/>
          <w:szCs w:val="22"/>
        </w:rPr>
      </w:pPr>
      <w:r>
        <w:rPr>
          <w:sz w:val="22"/>
          <w:szCs w:val="22"/>
        </w:rPr>
        <w:t xml:space="preserve">Current work items under development </w:t>
      </w:r>
    </w:p>
    <w:p w14:paraId="16091FE7" w14:textId="7719A2C7" w:rsidR="00694E59" w:rsidRDefault="00694E59" w:rsidP="00694E59">
      <w:pPr>
        <w:pStyle w:val="Default"/>
        <w:tabs>
          <w:tab w:val="left" w:pos="2340"/>
        </w:tabs>
        <w:ind w:left="720"/>
        <w:rPr>
          <w:sz w:val="22"/>
          <w:szCs w:val="22"/>
        </w:rPr>
      </w:pPr>
    </w:p>
    <w:p w14:paraId="20A30C56" w14:textId="77777777" w:rsidR="00694E59" w:rsidRPr="00B54630" w:rsidRDefault="00694E59" w:rsidP="00694E59">
      <w:pPr>
        <w:pStyle w:val="ListParagraph"/>
        <w:numPr>
          <w:ilvl w:val="0"/>
          <w:numId w:val="4"/>
        </w:numPr>
        <w:rPr>
          <w:i/>
        </w:rPr>
      </w:pPr>
      <w:r w:rsidRPr="00B54630">
        <w:rPr>
          <w:i/>
        </w:rPr>
        <w:t>ISO WD 21709 - Biotechnology — Biobanking — Process and quality requirements for establishment, maintenance and characterization of mammalian cell lines</w:t>
      </w:r>
    </w:p>
    <w:p w14:paraId="2A1CF03F" w14:textId="77777777" w:rsidR="00694E59" w:rsidRDefault="00694E59" w:rsidP="00694E59">
      <w:pPr>
        <w:pStyle w:val="ListParagraph"/>
        <w:numPr>
          <w:ilvl w:val="0"/>
          <w:numId w:val="4"/>
        </w:numPr>
        <w:rPr>
          <w:i/>
        </w:rPr>
      </w:pPr>
      <w:r w:rsidRPr="00B54630">
        <w:rPr>
          <w:i/>
        </w:rPr>
        <w:t>ISO DIS 21899 - Biotechnology — Biobanking — General requirements for the validation and verification of processing methods in biobanks</w:t>
      </w:r>
    </w:p>
    <w:p w14:paraId="333972C9" w14:textId="77777777" w:rsidR="00694E59" w:rsidRDefault="00694E59" w:rsidP="00694E59">
      <w:pPr>
        <w:pStyle w:val="ListParagraph"/>
        <w:numPr>
          <w:ilvl w:val="0"/>
          <w:numId w:val="4"/>
        </w:numPr>
        <w:rPr>
          <w:i/>
        </w:rPr>
      </w:pPr>
      <w:r>
        <w:rPr>
          <w:i/>
        </w:rPr>
        <w:t xml:space="preserve">ISO WD TS 20388 - </w:t>
      </w:r>
      <w:r w:rsidRPr="00B54630">
        <w:rPr>
          <w:i/>
        </w:rPr>
        <w:t>Biotechnology — Biobanking — Collection, processing, storage and transportation criteria for animal biological material</w:t>
      </w:r>
    </w:p>
    <w:p w14:paraId="3DF550F3" w14:textId="77777777" w:rsidR="00694E59" w:rsidRDefault="00694E59" w:rsidP="00694E59">
      <w:pPr>
        <w:pStyle w:val="ListParagraph"/>
        <w:numPr>
          <w:ilvl w:val="0"/>
          <w:numId w:val="4"/>
        </w:numPr>
        <w:rPr>
          <w:i/>
        </w:rPr>
      </w:pPr>
      <w:r>
        <w:rPr>
          <w:i/>
        </w:rPr>
        <w:t xml:space="preserve">ISO WD TS 23105 - </w:t>
      </w:r>
      <w:r w:rsidRPr="00B54630">
        <w:rPr>
          <w:i/>
        </w:rPr>
        <w:t>Biotechnology — Biobanking — Collection, processing, storage and transportation criteria for plant biological material</w:t>
      </w:r>
    </w:p>
    <w:p w14:paraId="072F6282" w14:textId="77777777" w:rsidR="00694E59" w:rsidRDefault="00694E59" w:rsidP="00694E59">
      <w:pPr>
        <w:pStyle w:val="ListParagraph"/>
        <w:numPr>
          <w:ilvl w:val="0"/>
          <w:numId w:val="4"/>
        </w:numPr>
        <w:rPr>
          <w:i/>
        </w:rPr>
      </w:pPr>
      <w:r>
        <w:rPr>
          <w:i/>
        </w:rPr>
        <w:t>ISO WD TS 22859-1 – General guidelines for biobanking human mesenchymal stem and stroma cells derived from the umbilical cord.</w:t>
      </w:r>
    </w:p>
    <w:p w14:paraId="3FE2BBBD" w14:textId="77777777" w:rsidR="00694E59" w:rsidRDefault="00694E59" w:rsidP="00694E59">
      <w:pPr>
        <w:pStyle w:val="ListParagraph"/>
        <w:numPr>
          <w:ilvl w:val="0"/>
          <w:numId w:val="4"/>
        </w:numPr>
        <w:rPr>
          <w:i/>
        </w:rPr>
      </w:pPr>
      <w:r>
        <w:rPr>
          <w:i/>
        </w:rPr>
        <w:t>ISO PWI 22859-2 – Biotechnology – biobanking – general guidelines for biobanking human mesenchymal stromal cells derived from bone marrow</w:t>
      </w:r>
    </w:p>
    <w:p w14:paraId="7849296F" w14:textId="77777777" w:rsidR="00694E59" w:rsidRDefault="00694E59" w:rsidP="00694E59">
      <w:pPr>
        <w:pStyle w:val="ListParagraph"/>
        <w:numPr>
          <w:ilvl w:val="0"/>
          <w:numId w:val="4"/>
        </w:numPr>
        <w:rPr>
          <w:i/>
        </w:rPr>
      </w:pPr>
      <w:r>
        <w:rPr>
          <w:i/>
        </w:rPr>
        <w:t>ISO PWI 24088 – Biotechnology – biobanking – collection processing, storage and transportation requirements for prokaryotic resources</w:t>
      </w:r>
    </w:p>
    <w:p w14:paraId="29C7771E" w14:textId="77777777" w:rsidR="00694E59" w:rsidRPr="00B54630" w:rsidRDefault="00694E59" w:rsidP="00694E59">
      <w:pPr>
        <w:pStyle w:val="ListParagraph"/>
        <w:numPr>
          <w:ilvl w:val="0"/>
          <w:numId w:val="4"/>
        </w:numPr>
        <w:rPr>
          <w:i/>
        </w:rPr>
      </w:pPr>
      <w:r>
        <w:rPr>
          <w:i/>
        </w:rPr>
        <w:t>Biotechnology – biobanking – the establishment, maintenance, characterization and distribution requirements for pluripotent stems cells</w:t>
      </w:r>
    </w:p>
    <w:p w14:paraId="2D869F89" w14:textId="066CF309" w:rsidR="00694E59" w:rsidRDefault="00694E59" w:rsidP="00694E59">
      <w:pPr>
        <w:pStyle w:val="Default"/>
        <w:tabs>
          <w:tab w:val="left" w:pos="2340"/>
        </w:tabs>
        <w:ind w:left="720"/>
        <w:rPr>
          <w:sz w:val="22"/>
          <w:szCs w:val="22"/>
        </w:rPr>
      </w:pPr>
    </w:p>
    <w:p w14:paraId="4BEC8458" w14:textId="34118DFE" w:rsidR="00694E59" w:rsidRPr="00694E59" w:rsidRDefault="00694E59" w:rsidP="00694E59">
      <w:pPr>
        <w:pStyle w:val="Default"/>
        <w:tabs>
          <w:tab w:val="left" w:pos="2340"/>
        </w:tabs>
        <w:rPr>
          <w:b/>
          <w:sz w:val="22"/>
          <w:szCs w:val="22"/>
        </w:rPr>
      </w:pPr>
      <w:r w:rsidRPr="00694E59">
        <w:rPr>
          <w:b/>
          <w:sz w:val="22"/>
          <w:szCs w:val="22"/>
        </w:rPr>
        <w:t>WG</w:t>
      </w:r>
      <w:r>
        <w:rPr>
          <w:b/>
          <w:sz w:val="22"/>
          <w:szCs w:val="22"/>
        </w:rPr>
        <w:t>3</w:t>
      </w:r>
      <w:r w:rsidRPr="00694E59">
        <w:rPr>
          <w:b/>
          <w:sz w:val="22"/>
          <w:szCs w:val="22"/>
        </w:rPr>
        <w:t xml:space="preserve"> – </w:t>
      </w:r>
      <w:r>
        <w:rPr>
          <w:b/>
          <w:sz w:val="22"/>
          <w:szCs w:val="22"/>
        </w:rPr>
        <w:t>Analytical methods</w:t>
      </w:r>
    </w:p>
    <w:p w14:paraId="30E43604" w14:textId="77777777" w:rsidR="00694E59" w:rsidRDefault="00694E59" w:rsidP="00694E59">
      <w:pPr>
        <w:pStyle w:val="Default"/>
        <w:tabs>
          <w:tab w:val="left" w:pos="2340"/>
        </w:tabs>
        <w:rPr>
          <w:sz w:val="22"/>
          <w:szCs w:val="22"/>
        </w:rPr>
      </w:pPr>
      <w:r>
        <w:rPr>
          <w:sz w:val="22"/>
          <w:szCs w:val="22"/>
        </w:rPr>
        <w:t>Current work items under development</w:t>
      </w:r>
    </w:p>
    <w:p w14:paraId="4B9E053A" w14:textId="38410186" w:rsidR="00694E59" w:rsidRDefault="00694E59" w:rsidP="00694E59">
      <w:pPr>
        <w:pStyle w:val="Default"/>
        <w:tabs>
          <w:tab w:val="left" w:pos="2340"/>
        </w:tabs>
        <w:rPr>
          <w:sz w:val="22"/>
          <w:szCs w:val="22"/>
        </w:rPr>
      </w:pPr>
      <w:r>
        <w:rPr>
          <w:sz w:val="22"/>
          <w:szCs w:val="22"/>
        </w:rPr>
        <w:t xml:space="preserve"> </w:t>
      </w:r>
    </w:p>
    <w:p w14:paraId="67B11AB1" w14:textId="77777777" w:rsidR="00694E59" w:rsidRPr="007122A5" w:rsidRDefault="00694E59" w:rsidP="00694E59">
      <w:pPr>
        <w:pStyle w:val="ListParagraph"/>
        <w:numPr>
          <w:ilvl w:val="0"/>
          <w:numId w:val="5"/>
        </w:numPr>
        <w:autoSpaceDE w:val="0"/>
        <w:autoSpaceDN w:val="0"/>
        <w:adjustRightInd w:val="0"/>
        <w:rPr>
          <w:i/>
        </w:rPr>
      </w:pPr>
      <w:r w:rsidRPr="007122A5">
        <w:rPr>
          <w:i/>
        </w:rPr>
        <w:t>ISO PWI 24421 - Biotechnology - Minimum requirements to assure optical signal quality of photometric methods for biological measurements</w:t>
      </w:r>
    </w:p>
    <w:p w14:paraId="1059F044" w14:textId="77777777" w:rsidR="00694E59" w:rsidRDefault="00694E59" w:rsidP="00694E59">
      <w:pPr>
        <w:pStyle w:val="ListParagraph"/>
        <w:numPr>
          <w:ilvl w:val="0"/>
          <w:numId w:val="5"/>
        </w:numPr>
        <w:autoSpaceDE w:val="0"/>
        <w:autoSpaceDN w:val="0"/>
        <w:adjustRightInd w:val="0"/>
        <w:rPr>
          <w:i/>
        </w:rPr>
      </w:pPr>
      <w:r w:rsidRPr="007122A5">
        <w:rPr>
          <w:i/>
        </w:rPr>
        <w:t>ISO/CD 23033 Biotechnology – Cell</w:t>
      </w:r>
      <w:r>
        <w:rPr>
          <w:i/>
        </w:rPr>
        <w:t xml:space="preserve"> </w:t>
      </w:r>
      <w:r w:rsidRPr="007122A5">
        <w:rPr>
          <w:i/>
        </w:rPr>
        <w:t>Characterization – General guide for characterization of human cells for</w:t>
      </w:r>
      <w:r>
        <w:rPr>
          <w:i/>
        </w:rPr>
        <w:t xml:space="preserve"> </w:t>
      </w:r>
      <w:r w:rsidRPr="007122A5">
        <w:rPr>
          <w:i/>
        </w:rPr>
        <w:t>therapeutic applications</w:t>
      </w:r>
      <w:r>
        <w:rPr>
          <w:i/>
        </w:rPr>
        <w:t>.</w:t>
      </w:r>
    </w:p>
    <w:p w14:paraId="65630CC2" w14:textId="77777777" w:rsidR="00694E59" w:rsidRDefault="00694E59" w:rsidP="00694E59">
      <w:pPr>
        <w:pStyle w:val="ListParagraph"/>
        <w:numPr>
          <w:ilvl w:val="0"/>
          <w:numId w:val="5"/>
        </w:numPr>
        <w:autoSpaceDE w:val="0"/>
        <w:autoSpaceDN w:val="0"/>
        <w:adjustRightInd w:val="0"/>
        <w:rPr>
          <w:i/>
        </w:rPr>
      </w:pPr>
      <w:r w:rsidRPr="007122A5">
        <w:rPr>
          <w:i/>
        </w:rPr>
        <w:t>ISO/CD 23033 Biotechnology – Analytical methods -</w:t>
      </w:r>
      <w:r>
        <w:rPr>
          <w:i/>
        </w:rPr>
        <w:t xml:space="preserve"> </w:t>
      </w:r>
      <w:r w:rsidRPr="007122A5">
        <w:rPr>
          <w:i/>
        </w:rPr>
        <w:t>General guide for the characterization and testing of cellular therapeutic products</w:t>
      </w:r>
      <w:r>
        <w:rPr>
          <w:i/>
        </w:rPr>
        <w:t>.</w:t>
      </w:r>
    </w:p>
    <w:p w14:paraId="23ED6730" w14:textId="77777777" w:rsidR="00694E59" w:rsidRDefault="00694E59" w:rsidP="00694E59">
      <w:pPr>
        <w:pStyle w:val="ListParagraph"/>
        <w:numPr>
          <w:ilvl w:val="0"/>
          <w:numId w:val="5"/>
        </w:numPr>
        <w:autoSpaceDE w:val="0"/>
        <w:autoSpaceDN w:val="0"/>
        <w:adjustRightInd w:val="0"/>
        <w:rPr>
          <w:i/>
        </w:rPr>
      </w:pPr>
      <w:r w:rsidRPr="007122A5">
        <w:rPr>
          <w:i/>
        </w:rPr>
        <w:t>ISO/CD 23033 Biotechnology – Cell Characterization – General guide</w:t>
      </w:r>
      <w:r>
        <w:rPr>
          <w:i/>
        </w:rPr>
        <w:t xml:space="preserve"> </w:t>
      </w:r>
      <w:r w:rsidRPr="007122A5">
        <w:rPr>
          <w:i/>
        </w:rPr>
        <w:t>for characterization of human cells for therapeutic applications</w:t>
      </w:r>
      <w:r>
        <w:rPr>
          <w:i/>
        </w:rPr>
        <w:t>.</w:t>
      </w:r>
    </w:p>
    <w:p w14:paraId="659C67D0" w14:textId="77777777" w:rsidR="00694E59" w:rsidRDefault="00694E59" w:rsidP="00694E59">
      <w:pPr>
        <w:pStyle w:val="ListParagraph"/>
        <w:numPr>
          <w:ilvl w:val="0"/>
          <w:numId w:val="5"/>
        </w:numPr>
        <w:autoSpaceDE w:val="0"/>
        <w:autoSpaceDN w:val="0"/>
        <w:adjustRightInd w:val="0"/>
        <w:rPr>
          <w:i/>
        </w:rPr>
      </w:pPr>
      <w:r w:rsidRPr="007122A5">
        <w:rPr>
          <w:i/>
        </w:rPr>
        <w:t>ISO/CD 20397-2 Biotechnology -</w:t>
      </w:r>
      <w:r>
        <w:rPr>
          <w:i/>
        </w:rPr>
        <w:t xml:space="preserve"> </w:t>
      </w:r>
      <w:r w:rsidRPr="007122A5">
        <w:rPr>
          <w:i/>
        </w:rPr>
        <w:t>General requirements for massive parallel sequencing – Part 2: Methods to evaluate the quality of sequencing data.</w:t>
      </w:r>
    </w:p>
    <w:p w14:paraId="3C478C6D" w14:textId="77777777" w:rsidR="00694E59" w:rsidRDefault="00694E59" w:rsidP="00694E59">
      <w:pPr>
        <w:pStyle w:val="ListParagraph"/>
        <w:numPr>
          <w:ilvl w:val="0"/>
          <w:numId w:val="5"/>
        </w:numPr>
        <w:autoSpaceDE w:val="0"/>
        <w:autoSpaceDN w:val="0"/>
        <w:adjustRightInd w:val="0"/>
        <w:rPr>
          <w:i/>
        </w:rPr>
      </w:pPr>
      <w:r w:rsidRPr="007122A5">
        <w:rPr>
          <w:i/>
        </w:rPr>
        <w:t>ISO/CD 20397-2 Biotechnology - General requirements for massive</w:t>
      </w:r>
      <w:r>
        <w:rPr>
          <w:i/>
        </w:rPr>
        <w:t xml:space="preserve"> </w:t>
      </w:r>
      <w:r w:rsidRPr="007122A5">
        <w:rPr>
          <w:i/>
        </w:rPr>
        <w:t>parallel sequencing - Part 2: Methods to evaluate the quality of</w:t>
      </w:r>
      <w:r>
        <w:rPr>
          <w:i/>
        </w:rPr>
        <w:t xml:space="preserve"> </w:t>
      </w:r>
      <w:r w:rsidRPr="007122A5">
        <w:rPr>
          <w:i/>
        </w:rPr>
        <w:t>sequencing data</w:t>
      </w:r>
      <w:r>
        <w:rPr>
          <w:i/>
        </w:rPr>
        <w:t>.</w:t>
      </w:r>
    </w:p>
    <w:p w14:paraId="1FE300B9" w14:textId="77777777" w:rsidR="00694E59" w:rsidRDefault="00694E59" w:rsidP="00694E59">
      <w:pPr>
        <w:pStyle w:val="ListParagraph"/>
        <w:numPr>
          <w:ilvl w:val="0"/>
          <w:numId w:val="5"/>
        </w:numPr>
        <w:autoSpaceDE w:val="0"/>
        <w:autoSpaceDN w:val="0"/>
        <w:adjustRightInd w:val="0"/>
        <w:rPr>
          <w:i/>
        </w:rPr>
      </w:pPr>
      <w:r w:rsidRPr="007122A5">
        <w:rPr>
          <w:i/>
        </w:rPr>
        <w:t>ISO/DIS 20688-1 Biotechnology – Nucleic acid</w:t>
      </w:r>
      <w:r>
        <w:rPr>
          <w:i/>
        </w:rPr>
        <w:t xml:space="preserve"> </w:t>
      </w:r>
      <w:r w:rsidRPr="007122A5">
        <w:rPr>
          <w:i/>
        </w:rPr>
        <w:t>synthesis – Part 1: General definitions and requirements for the</w:t>
      </w:r>
      <w:r>
        <w:rPr>
          <w:i/>
        </w:rPr>
        <w:t xml:space="preserve"> </w:t>
      </w:r>
      <w:r w:rsidRPr="007122A5">
        <w:rPr>
          <w:i/>
        </w:rPr>
        <w:t>production and quality control of synthesized oligonucleotides</w:t>
      </w:r>
      <w:r>
        <w:rPr>
          <w:i/>
        </w:rPr>
        <w:t>.</w:t>
      </w:r>
    </w:p>
    <w:p w14:paraId="629F8BDA" w14:textId="77777777" w:rsidR="00694E59" w:rsidRDefault="00694E59" w:rsidP="00694E59">
      <w:pPr>
        <w:pStyle w:val="ListParagraph"/>
        <w:numPr>
          <w:ilvl w:val="0"/>
          <w:numId w:val="5"/>
        </w:numPr>
        <w:autoSpaceDE w:val="0"/>
        <w:autoSpaceDN w:val="0"/>
        <w:adjustRightInd w:val="0"/>
        <w:rPr>
          <w:i/>
        </w:rPr>
      </w:pPr>
      <w:r w:rsidRPr="00CA7798">
        <w:rPr>
          <w:i/>
        </w:rPr>
        <w:t>ISO/PWI 20688-2 Biotechnology</w:t>
      </w:r>
      <w:r>
        <w:rPr>
          <w:i/>
        </w:rPr>
        <w:t xml:space="preserve"> </w:t>
      </w:r>
      <w:r w:rsidRPr="00CA7798">
        <w:rPr>
          <w:i/>
        </w:rPr>
        <w:t>– Nucleic acid synthesis – Part 2. General definitions and requirements for the</w:t>
      </w:r>
      <w:r>
        <w:rPr>
          <w:i/>
        </w:rPr>
        <w:t xml:space="preserve"> </w:t>
      </w:r>
      <w:r w:rsidRPr="00CA7798">
        <w:rPr>
          <w:i/>
        </w:rPr>
        <w:t>production and quality control of synthesized gene fragments, genes, and genomes</w:t>
      </w:r>
      <w:r>
        <w:rPr>
          <w:i/>
        </w:rPr>
        <w:t>.</w:t>
      </w:r>
    </w:p>
    <w:p w14:paraId="1DC51173" w14:textId="77777777" w:rsidR="00694E59" w:rsidRPr="00CA7798" w:rsidRDefault="00694E59" w:rsidP="00694E59">
      <w:pPr>
        <w:pStyle w:val="ListParagraph"/>
        <w:numPr>
          <w:ilvl w:val="0"/>
          <w:numId w:val="5"/>
        </w:numPr>
        <w:autoSpaceDE w:val="0"/>
        <w:autoSpaceDN w:val="0"/>
        <w:adjustRightInd w:val="0"/>
        <w:rPr>
          <w:i/>
        </w:rPr>
      </w:pPr>
      <w:r w:rsidRPr="00CA7798">
        <w:rPr>
          <w:i/>
        </w:rPr>
        <w:t>ISO/PWI 20688-2</w:t>
      </w:r>
      <w:r>
        <w:rPr>
          <w:i/>
        </w:rPr>
        <w:t xml:space="preserve"> </w:t>
      </w:r>
      <w:r w:rsidRPr="00CA7798">
        <w:rPr>
          <w:i/>
        </w:rPr>
        <w:t>Biotechnology – Nucleic acid synthesis – Part 2. Requirements for the production</w:t>
      </w:r>
      <w:r>
        <w:rPr>
          <w:i/>
        </w:rPr>
        <w:t xml:space="preserve"> </w:t>
      </w:r>
      <w:r w:rsidRPr="00CA7798">
        <w:rPr>
          <w:i/>
        </w:rPr>
        <w:t>and quality control of synthesized gene fragments, genes, and genomes.</w:t>
      </w:r>
    </w:p>
    <w:p w14:paraId="1CB44CA1" w14:textId="38E58D63" w:rsidR="00694E59" w:rsidRDefault="00694E59" w:rsidP="00694E59">
      <w:pPr>
        <w:pStyle w:val="Default"/>
        <w:tabs>
          <w:tab w:val="left" w:pos="2340"/>
        </w:tabs>
        <w:ind w:left="720"/>
        <w:rPr>
          <w:sz w:val="22"/>
          <w:szCs w:val="22"/>
        </w:rPr>
      </w:pPr>
    </w:p>
    <w:p w14:paraId="596DDB17" w14:textId="579A1B3F" w:rsidR="00694E59" w:rsidRDefault="00694E59" w:rsidP="00694E59">
      <w:pPr>
        <w:pStyle w:val="Default"/>
        <w:tabs>
          <w:tab w:val="left" w:pos="2340"/>
        </w:tabs>
        <w:ind w:left="720"/>
        <w:rPr>
          <w:sz w:val="22"/>
          <w:szCs w:val="22"/>
        </w:rPr>
      </w:pPr>
    </w:p>
    <w:p w14:paraId="0F57450C" w14:textId="5AA3F953" w:rsidR="00694E59" w:rsidRPr="00694E59" w:rsidRDefault="00694E59" w:rsidP="00694E59">
      <w:pPr>
        <w:pStyle w:val="Default"/>
        <w:tabs>
          <w:tab w:val="left" w:pos="2340"/>
        </w:tabs>
        <w:rPr>
          <w:b/>
          <w:sz w:val="22"/>
          <w:szCs w:val="22"/>
        </w:rPr>
      </w:pPr>
      <w:r w:rsidRPr="00694E59">
        <w:rPr>
          <w:b/>
          <w:sz w:val="22"/>
          <w:szCs w:val="22"/>
        </w:rPr>
        <w:t>WG</w:t>
      </w:r>
      <w:r w:rsidR="00B81F87">
        <w:rPr>
          <w:b/>
          <w:sz w:val="22"/>
          <w:szCs w:val="22"/>
        </w:rPr>
        <w:t>4</w:t>
      </w:r>
      <w:r w:rsidRPr="00694E59">
        <w:rPr>
          <w:b/>
          <w:sz w:val="22"/>
          <w:szCs w:val="22"/>
        </w:rPr>
        <w:t xml:space="preserve"> – </w:t>
      </w:r>
      <w:r w:rsidR="00B81F87">
        <w:rPr>
          <w:b/>
          <w:sz w:val="22"/>
          <w:szCs w:val="22"/>
        </w:rPr>
        <w:t>Bioprocessing</w:t>
      </w:r>
    </w:p>
    <w:p w14:paraId="2200A871" w14:textId="77777777" w:rsidR="00694E59" w:rsidRDefault="00694E59" w:rsidP="00694E59">
      <w:pPr>
        <w:pStyle w:val="Default"/>
        <w:tabs>
          <w:tab w:val="left" w:pos="2340"/>
        </w:tabs>
        <w:rPr>
          <w:sz w:val="22"/>
          <w:szCs w:val="22"/>
        </w:rPr>
      </w:pPr>
      <w:r>
        <w:rPr>
          <w:sz w:val="22"/>
          <w:szCs w:val="22"/>
        </w:rPr>
        <w:t>Current work items under development</w:t>
      </w:r>
    </w:p>
    <w:p w14:paraId="4E1422DE" w14:textId="77777777" w:rsidR="00694E59" w:rsidRDefault="00694E59" w:rsidP="00694E59">
      <w:pPr>
        <w:pStyle w:val="Default"/>
        <w:tabs>
          <w:tab w:val="left" w:pos="2340"/>
        </w:tabs>
        <w:ind w:left="720"/>
        <w:rPr>
          <w:sz w:val="22"/>
          <w:szCs w:val="22"/>
        </w:rPr>
      </w:pPr>
    </w:p>
    <w:p w14:paraId="21706285" w14:textId="77777777" w:rsidR="00694E59" w:rsidRDefault="00694E59" w:rsidP="00694E59">
      <w:pPr>
        <w:pStyle w:val="ListParagraph"/>
        <w:numPr>
          <w:ilvl w:val="0"/>
          <w:numId w:val="5"/>
        </w:numPr>
        <w:autoSpaceDE w:val="0"/>
        <w:autoSpaceDN w:val="0"/>
        <w:adjustRightInd w:val="0"/>
        <w:rPr>
          <w:i/>
        </w:rPr>
      </w:pPr>
      <w:r w:rsidRPr="00F25830">
        <w:rPr>
          <w:i/>
        </w:rPr>
        <w:t>ISO/CD 21973 – Biotechnology – General requirements for transportation of cells for therapeutic use.</w:t>
      </w:r>
    </w:p>
    <w:p w14:paraId="6F804C59" w14:textId="77777777" w:rsidR="00694E59" w:rsidRPr="00F25830" w:rsidRDefault="00694E59" w:rsidP="00694E59">
      <w:pPr>
        <w:pStyle w:val="ListParagraph"/>
        <w:numPr>
          <w:ilvl w:val="0"/>
          <w:numId w:val="5"/>
        </w:numPr>
        <w:autoSpaceDE w:val="0"/>
        <w:autoSpaceDN w:val="0"/>
        <w:adjustRightInd w:val="0"/>
        <w:rPr>
          <w:i/>
        </w:rPr>
      </w:pPr>
      <w:r>
        <w:rPr>
          <w:i/>
        </w:rPr>
        <w:t xml:space="preserve">ISO AWI TS 23565 – Biotechnology – bioprocessing – General requirements and considerations for equipment systems used in manufacturing of cellular therapeutic products. </w:t>
      </w:r>
      <w:r w:rsidRPr="00F25830">
        <w:rPr>
          <w:i/>
        </w:rPr>
        <w:t xml:space="preserve"> </w:t>
      </w:r>
    </w:p>
    <w:p w14:paraId="27FDEFD7" w14:textId="77777777" w:rsidR="00694E59" w:rsidRDefault="00694E59" w:rsidP="00694E59"/>
    <w:p w14:paraId="53E6C82C" w14:textId="77777777" w:rsidR="00694E59" w:rsidRDefault="00694E59" w:rsidP="00694E59">
      <w:r>
        <w:t xml:space="preserve">Topics being discussed and investigated for possible standard development include cell manufacturing or "cell manufacturability" and requirements for package of cells for therapeutic use. </w:t>
      </w:r>
    </w:p>
    <w:p w14:paraId="7D472ACF" w14:textId="2E424B60" w:rsidR="00CC3A08" w:rsidRDefault="00CC3A08" w:rsidP="00CC3A08">
      <w:pPr>
        <w:pStyle w:val="Default"/>
        <w:tabs>
          <w:tab w:val="left" w:pos="2340"/>
        </w:tabs>
        <w:rPr>
          <w:sz w:val="22"/>
          <w:szCs w:val="22"/>
        </w:rPr>
      </w:pPr>
    </w:p>
    <w:p w14:paraId="40527306" w14:textId="36137C28" w:rsidR="00CC3A08" w:rsidRDefault="00CC3A08" w:rsidP="00CC3A08">
      <w:pPr>
        <w:pStyle w:val="Default"/>
        <w:tabs>
          <w:tab w:val="left" w:pos="2340"/>
        </w:tabs>
        <w:rPr>
          <w:sz w:val="22"/>
          <w:szCs w:val="22"/>
        </w:rPr>
      </w:pPr>
    </w:p>
    <w:sectPr w:rsidR="00CC3A0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A18B7" w14:textId="77777777" w:rsidR="004D682D" w:rsidRDefault="004D682D" w:rsidP="00B33496">
      <w:r>
        <w:separator/>
      </w:r>
    </w:p>
  </w:endnote>
  <w:endnote w:type="continuationSeparator" w:id="0">
    <w:p w14:paraId="0DB98D08" w14:textId="77777777" w:rsidR="004D682D" w:rsidRDefault="004D682D" w:rsidP="00B3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CBFC4" w14:textId="67EBBB38" w:rsidR="008658A5" w:rsidRDefault="004D682D">
    <w:pPr>
      <w:pStyle w:val="Footer"/>
      <w:jc w:val="right"/>
    </w:pPr>
    <w:hyperlink r:id="rId1" w:history="1">
      <w:r w:rsidR="00694E59" w:rsidRPr="00E42669">
        <w:rPr>
          <w:rStyle w:val="Hyperlink"/>
        </w:rPr>
        <w:t>www.nsai.ie</w:t>
      </w:r>
    </w:hyperlink>
    <w:r w:rsidR="00A62E50">
      <w:t xml:space="preserve"> / </w:t>
    </w:r>
    <w:hyperlink r:id="rId2" w:history="1">
      <w:r w:rsidR="00A62E50" w:rsidRPr="007B49A8">
        <w:rPr>
          <w:rStyle w:val="Hyperlink"/>
        </w:rPr>
        <w:t>www.standards.ie</w:t>
      </w:r>
    </w:hyperlink>
    <w:r w:rsidR="00A62E50">
      <w:t xml:space="preserve"> </w:t>
    </w:r>
    <w:r w:rsidR="00A62E50">
      <w:tab/>
    </w:r>
    <w:r w:rsidR="00A62E50">
      <w:tab/>
    </w:r>
    <w:sdt>
      <w:sdtPr>
        <w:id w:val="240538505"/>
        <w:docPartObj>
          <w:docPartGallery w:val="Page Numbers (Bottom of Page)"/>
          <w:docPartUnique/>
        </w:docPartObj>
      </w:sdtPr>
      <w:sdtEndPr>
        <w:rPr>
          <w:noProof/>
        </w:rPr>
      </w:sdtEndPr>
      <w:sdtContent>
        <w:r w:rsidR="008658A5">
          <w:fldChar w:fldCharType="begin"/>
        </w:r>
        <w:r w:rsidR="008658A5">
          <w:instrText xml:space="preserve"> PAGE   \* MERGEFORMAT </w:instrText>
        </w:r>
        <w:r w:rsidR="008658A5">
          <w:fldChar w:fldCharType="separate"/>
        </w:r>
        <w:r w:rsidR="000818C9">
          <w:rPr>
            <w:noProof/>
          </w:rPr>
          <w:t>4</w:t>
        </w:r>
        <w:r w:rsidR="008658A5">
          <w:rPr>
            <w:noProof/>
          </w:rPr>
          <w:fldChar w:fldCharType="end"/>
        </w:r>
        <w:r w:rsidR="008658A5">
          <w:rPr>
            <w:noProof/>
          </w:rPr>
          <w:t xml:space="preserve"> of </w:t>
        </w:r>
        <w:r w:rsidR="00CC3A08">
          <w:rPr>
            <w:noProof/>
          </w:rPr>
          <w:t>6</w:t>
        </w:r>
      </w:sdtContent>
    </w:sdt>
  </w:p>
  <w:p w14:paraId="7159D612" w14:textId="52A91776" w:rsidR="00713046" w:rsidRDefault="00713046" w:rsidP="00865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A7A8" w14:textId="77777777" w:rsidR="004D682D" w:rsidRDefault="004D682D" w:rsidP="00B33496">
      <w:r>
        <w:separator/>
      </w:r>
    </w:p>
  </w:footnote>
  <w:footnote w:type="continuationSeparator" w:id="0">
    <w:p w14:paraId="54F7422F" w14:textId="77777777" w:rsidR="004D682D" w:rsidRDefault="004D682D" w:rsidP="00B33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6252" w14:textId="77777777" w:rsidR="00B33496" w:rsidRDefault="00B33496"/>
  <w:p w14:paraId="0D61BFC6" w14:textId="23CE8511" w:rsidR="00B33496" w:rsidRPr="008658A5" w:rsidRDefault="008658A5">
    <w:pPr>
      <w:pStyle w:val="Header"/>
      <w:rPr>
        <w:sz w:val="18"/>
        <w:szCs w:val="18"/>
      </w:rPr>
    </w:pPr>
    <w:r w:rsidRPr="008658A5">
      <w:rPr>
        <w:sz w:val="18"/>
        <w:szCs w:val="18"/>
      </w:rPr>
      <w:t xml:space="preserve">Issue </w:t>
    </w:r>
    <w:r w:rsidR="00B141A6">
      <w:rPr>
        <w:sz w:val="18"/>
        <w:szCs w:val="18"/>
      </w:rPr>
      <w:t>2</w:t>
    </w:r>
    <w:r>
      <w:rPr>
        <w:sz w:val="18"/>
        <w:szCs w:val="18"/>
      </w:rPr>
      <w:t>:</w:t>
    </w:r>
    <w:r w:rsidRPr="008658A5">
      <w:rPr>
        <w:sz w:val="18"/>
        <w:szCs w:val="18"/>
      </w:rPr>
      <w:t xml:space="preserve"> 201</w:t>
    </w:r>
    <w:r w:rsidR="00B141A6">
      <w:rPr>
        <w:sz w:val="18"/>
        <w:szCs w:val="1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6F3"/>
    <w:multiLevelType w:val="hybridMultilevel"/>
    <w:tmpl w:val="7F9A9F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152DB6"/>
    <w:multiLevelType w:val="multilevel"/>
    <w:tmpl w:val="A422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D5178"/>
    <w:multiLevelType w:val="hybridMultilevel"/>
    <w:tmpl w:val="7BD8AC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2A23B00"/>
    <w:multiLevelType w:val="hybridMultilevel"/>
    <w:tmpl w:val="3BA0E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73A45CD"/>
    <w:multiLevelType w:val="hybridMultilevel"/>
    <w:tmpl w:val="30B643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C9047C"/>
    <w:multiLevelType w:val="hybridMultilevel"/>
    <w:tmpl w:val="4EE03F86"/>
    <w:lvl w:ilvl="0" w:tplc="1809000F">
      <w:start w:val="1"/>
      <w:numFmt w:val="decimal"/>
      <w:lvlText w:val="%1."/>
      <w:lvlJc w:val="left"/>
      <w:pPr>
        <w:ind w:left="795" w:hanging="360"/>
      </w:pPr>
    </w:lvl>
    <w:lvl w:ilvl="1" w:tplc="18090019" w:tentative="1">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6" w15:restartNumberingAfterBreak="0">
    <w:nsid w:val="596F40D8"/>
    <w:multiLevelType w:val="hybridMultilevel"/>
    <w:tmpl w:val="65CEE60E"/>
    <w:lvl w:ilvl="0" w:tplc="8114412A">
      <w:numFmt w:val="bullet"/>
      <w:lvlText w:val="•"/>
      <w:lvlJc w:val="left"/>
      <w:pPr>
        <w:ind w:left="720" w:hanging="360"/>
      </w:pPr>
      <w:rPr>
        <w:rFonts w:ascii="Verdana" w:eastAsiaTheme="minorHAnsi" w:hAnsi="Verdana" w:cs="Verdan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B3861C6"/>
    <w:multiLevelType w:val="hybridMultilevel"/>
    <w:tmpl w:val="F43C2C20"/>
    <w:lvl w:ilvl="0" w:tplc="A5A2B67A">
      <w:numFmt w:val="bullet"/>
      <w:lvlText w:val="•"/>
      <w:lvlJc w:val="left"/>
      <w:pPr>
        <w:ind w:left="720" w:hanging="360"/>
      </w:pPr>
      <w:rPr>
        <w:rFonts w:ascii="Verdana" w:eastAsiaTheme="minorHAnsi"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B6D61D5"/>
    <w:multiLevelType w:val="hybridMultilevel"/>
    <w:tmpl w:val="E07A2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C5D3F07"/>
    <w:multiLevelType w:val="hybridMultilevel"/>
    <w:tmpl w:val="7128908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7E0E3C29"/>
    <w:multiLevelType w:val="hybridMultilevel"/>
    <w:tmpl w:val="5F28D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8"/>
  </w:num>
  <w:num w:numId="5">
    <w:abstractNumId w:val="2"/>
  </w:num>
  <w:num w:numId="6">
    <w:abstractNumId w:val="5"/>
  </w:num>
  <w:num w:numId="7">
    <w:abstractNumId w:val="0"/>
  </w:num>
  <w:num w:numId="8">
    <w:abstractNumId w:val="9"/>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B0"/>
    <w:rsid w:val="00007DE4"/>
    <w:rsid w:val="00020F74"/>
    <w:rsid w:val="00046660"/>
    <w:rsid w:val="000761FA"/>
    <w:rsid w:val="000818C9"/>
    <w:rsid w:val="000B768A"/>
    <w:rsid w:val="00110CFE"/>
    <w:rsid w:val="00226BA8"/>
    <w:rsid w:val="00230BAF"/>
    <w:rsid w:val="00281846"/>
    <w:rsid w:val="00297466"/>
    <w:rsid w:val="0030074C"/>
    <w:rsid w:val="00324CE9"/>
    <w:rsid w:val="00333225"/>
    <w:rsid w:val="003A3D9A"/>
    <w:rsid w:val="003C5F88"/>
    <w:rsid w:val="0040029A"/>
    <w:rsid w:val="004C33BA"/>
    <w:rsid w:val="004C79C0"/>
    <w:rsid w:val="004D682D"/>
    <w:rsid w:val="004E4305"/>
    <w:rsid w:val="004E6886"/>
    <w:rsid w:val="00507E94"/>
    <w:rsid w:val="005137C8"/>
    <w:rsid w:val="005157F9"/>
    <w:rsid w:val="005976B0"/>
    <w:rsid w:val="005A72B6"/>
    <w:rsid w:val="005B0645"/>
    <w:rsid w:val="005E2BCB"/>
    <w:rsid w:val="005E56C2"/>
    <w:rsid w:val="00625A4C"/>
    <w:rsid w:val="006778CD"/>
    <w:rsid w:val="0068092E"/>
    <w:rsid w:val="00694E59"/>
    <w:rsid w:val="006A716B"/>
    <w:rsid w:val="006E42C8"/>
    <w:rsid w:val="006F3EDB"/>
    <w:rsid w:val="00703399"/>
    <w:rsid w:val="007122A5"/>
    <w:rsid w:val="00713046"/>
    <w:rsid w:val="007668C5"/>
    <w:rsid w:val="007B2267"/>
    <w:rsid w:val="008219CE"/>
    <w:rsid w:val="00821A56"/>
    <w:rsid w:val="00836ED8"/>
    <w:rsid w:val="008658A5"/>
    <w:rsid w:val="00921A1A"/>
    <w:rsid w:val="00963713"/>
    <w:rsid w:val="009A18D9"/>
    <w:rsid w:val="009A379A"/>
    <w:rsid w:val="009B1CF9"/>
    <w:rsid w:val="009F7248"/>
    <w:rsid w:val="00A62E50"/>
    <w:rsid w:val="00A76A45"/>
    <w:rsid w:val="00A76C29"/>
    <w:rsid w:val="00B141A6"/>
    <w:rsid w:val="00B3134D"/>
    <w:rsid w:val="00B33496"/>
    <w:rsid w:val="00B35B29"/>
    <w:rsid w:val="00B44E3F"/>
    <w:rsid w:val="00B54630"/>
    <w:rsid w:val="00B81F87"/>
    <w:rsid w:val="00BC68A2"/>
    <w:rsid w:val="00BD6D79"/>
    <w:rsid w:val="00C200ED"/>
    <w:rsid w:val="00C211B0"/>
    <w:rsid w:val="00CA7798"/>
    <w:rsid w:val="00CC22F3"/>
    <w:rsid w:val="00CC3A08"/>
    <w:rsid w:val="00D30F26"/>
    <w:rsid w:val="00D60E1F"/>
    <w:rsid w:val="00DE018F"/>
    <w:rsid w:val="00DF3E20"/>
    <w:rsid w:val="00E024AD"/>
    <w:rsid w:val="00E3407E"/>
    <w:rsid w:val="00E4483C"/>
    <w:rsid w:val="00E83C16"/>
    <w:rsid w:val="00E85E56"/>
    <w:rsid w:val="00EB7D85"/>
    <w:rsid w:val="00F101E7"/>
    <w:rsid w:val="00F25830"/>
    <w:rsid w:val="00F50C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3654A"/>
  <w15:docId w15:val="{5346669B-76D6-441D-A4FE-D47D8D55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2"/>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18F"/>
  </w:style>
  <w:style w:type="paragraph" w:styleId="Heading1">
    <w:name w:val="heading 1"/>
    <w:basedOn w:val="Normal"/>
    <w:next w:val="Normal"/>
    <w:link w:val="Heading1Char"/>
    <w:uiPriority w:val="9"/>
    <w:qFormat/>
    <w:rsid w:val="00DE0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E0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E01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E018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018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018F"/>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DE018F"/>
    <w:pPr>
      <w:spacing w:before="240" w:after="60"/>
      <w:outlineLvl w:val="6"/>
    </w:pPr>
  </w:style>
  <w:style w:type="paragraph" w:styleId="Heading8">
    <w:name w:val="heading 8"/>
    <w:basedOn w:val="Normal"/>
    <w:next w:val="Normal"/>
    <w:link w:val="Heading8Char"/>
    <w:uiPriority w:val="9"/>
    <w:semiHidden/>
    <w:unhideWhenUsed/>
    <w:qFormat/>
    <w:rsid w:val="00DE018F"/>
    <w:pPr>
      <w:spacing w:before="240" w:after="60"/>
      <w:outlineLvl w:val="7"/>
    </w:pPr>
    <w:rPr>
      <w:i/>
      <w:iCs/>
    </w:rPr>
  </w:style>
  <w:style w:type="paragraph" w:styleId="Heading9">
    <w:name w:val="heading 9"/>
    <w:basedOn w:val="Normal"/>
    <w:next w:val="Normal"/>
    <w:link w:val="Heading9Char"/>
    <w:uiPriority w:val="9"/>
    <w:semiHidden/>
    <w:unhideWhenUsed/>
    <w:qFormat/>
    <w:rsid w:val="00DE018F"/>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E0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E018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E018F"/>
    <w:rPr>
      <w:b/>
      <w:bCs/>
      <w:sz w:val="28"/>
      <w:szCs w:val="28"/>
    </w:rPr>
  </w:style>
  <w:style w:type="character" w:customStyle="1" w:styleId="Heading5Char">
    <w:name w:val="Heading 5 Char"/>
    <w:basedOn w:val="DefaultParagraphFont"/>
    <w:link w:val="Heading5"/>
    <w:uiPriority w:val="9"/>
    <w:semiHidden/>
    <w:rsid w:val="00DE018F"/>
    <w:rPr>
      <w:b/>
      <w:bCs/>
      <w:i/>
      <w:iCs/>
      <w:sz w:val="26"/>
      <w:szCs w:val="26"/>
    </w:rPr>
  </w:style>
  <w:style w:type="character" w:customStyle="1" w:styleId="Heading6Char">
    <w:name w:val="Heading 6 Char"/>
    <w:basedOn w:val="DefaultParagraphFont"/>
    <w:link w:val="Heading6"/>
    <w:uiPriority w:val="9"/>
    <w:semiHidden/>
    <w:rsid w:val="00DE018F"/>
    <w:rPr>
      <w:b/>
      <w:bCs/>
    </w:rPr>
  </w:style>
  <w:style w:type="character" w:customStyle="1" w:styleId="Heading7Char">
    <w:name w:val="Heading 7 Char"/>
    <w:basedOn w:val="DefaultParagraphFont"/>
    <w:link w:val="Heading7"/>
    <w:uiPriority w:val="9"/>
    <w:semiHidden/>
    <w:rsid w:val="00DE018F"/>
    <w:rPr>
      <w:sz w:val="24"/>
      <w:szCs w:val="24"/>
    </w:rPr>
  </w:style>
  <w:style w:type="character" w:customStyle="1" w:styleId="Heading8Char">
    <w:name w:val="Heading 8 Char"/>
    <w:basedOn w:val="DefaultParagraphFont"/>
    <w:link w:val="Heading8"/>
    <w:uiPriority w:val="9"/>
    <w:semiHidden/>
    <w:rsid w:val="00DE018F"/>
    <w:rPr>
      <w:i/>
      <w:iCs/>
      <w:sz w:val="24"/>
      <w:szCs w:val="24"/>
    </w:rPr>
  </w:style>
  <w:style w:type="character" w:customStyle="1" w:styleId="Heading9Char">
    <w:name w:val="Heading 9 Char"/>
    <w:basedOn w:val="DefaultParagraphFont"/>
    <w:link w:val="Heading9"/>
    <w:uiPriority w:val="9"/>
    <w:semiHidden/>
    <w:rsid w:val="00DE018F"/>
    <w:rPr>
      <w:rFonts w:asciiTheme="majorHAnsi" w:eastAsiaTheme="majorEastAsia" w:hAnsiTheme="majorHAnsi"/>
    </w:rPr>
  </w:style>
  <w:style w:type="paragraph" w:styleId="Title">
    <w:name w:val="Title"/>
    <w:basedOn w:val="Normal"/>
    <w:next w:val="Normal"/>
    <w:link w:val="TitleChar"/>
    <w:uiPriority w:val="10"/>
    <w:qFormat/>
    <w:rsid w:val="00DE0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E0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E0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E018F"/>
    <w:rPr>
      <w:rFonts w:asciiTheme="majorHAnsi" w:eastAsiaTheme="majorEastAsia" w:hAnsiTheme="majorHAnsi"/>
      <w:sz w:val="24"/>
      <w:szCs w:val="24"/>
    </w:rPr>
  </w:style>
  <w:style w:type="character" w:styleId="Strong">
    <w:name w:val="Strong"/>
    <w:basedOn w:val="DefaultParagraphFont"/>
    <w:uiPriority w:val="22"/>
    <w:qFormat/>
    <w:rsid w:val="00DE018F"/>
    <w:rPr>
      <w:b/>
      <w:bCs/>
    </w:rPr>
  </w:style>
  <w:style w:type="character" w:styleId="Emphasis">
    <w:name w:val="Emphasis"/>
    <w:basedOn w:val="DefaultParagraphFont"/>
    <w:uiPriority w:val="20"/>
    <w:qFormat/>
    <w:rsid w:val="00DE018F"/>
    <w:rPr>
      <w:rFonts w:asciiTheme="minorHAnsi" w:hAnsiTheme="minorHAnsi"/>
      <w:b/>
      <w:i/>
      <w:iCs/>
    </w:rPr>
  </w:style>
  <w:style w:type="paragraph" w:styleId="NoSpacing">
    <w:name w:val="No Spacing"/>
    <w:basedOn w:val="Normal"/>
    <w:uiPriority w:val="1"/>
    <w:qFormat/>
    <w:rsid w:val="00DE018F"/>
    <w:rPr>
      <w:szCs w:val="32"/>
    </w:rPr>
  </w:style>
  <w:style w:type="paragraph" w:styleId="ListParagraph">
    <w:name w:val="List Paragraph"/>
    <w:basedOn w:val="Normal"/>
    <w:uiPriority w:val="34"/>
    <w:qFormat/>
    <w:rsid w:val="00DE018F"/>
    <w:pPr>
      <w:ind w:left="720"/>
      <w:contextualSpacing/>
    </w:pPr>
  </w:style>
  <w:style w:type="paragraph" w:styleId="Quote">
    <w:name w:val="Quote"/>
    <w:basedOn w:val="Normal"/>
    <w:next w:val="Normal"/>
    <w:link w:val="QuoteChar"/>
    <w:uiPriority w:val="29"/>
    <w:qFormat/>
    <w:rsid w:val="00DE018F"/>
    <w:rPr>
      <w:i/>
    </w:rPr>
  </w:style>
  <w:style w:type="character" w:customStyle="1" w:styleId="QuoteChar">
    <w:name w:val="Quote Char"/>
    <w:basedOn w:val="DefaultParagraphFont"/>
    <w:link w:val="Quote"/>
    <w:uiPriority w:val="29"/>
    <w:rsid w:val="00DE018F"/>
    <w:rPr>
      <w:i/>
      <w:sz w:val="24"/>
      <w:szCs w:val="24"/>
    </w:rPr>
  </w:style>
  <w:style w:type="paragraph" w:styleId="IntenseQuote">
    <w:name w:val="Intense Quote"/>
    <w:basedOn w:val="Normal"/>
    <w:next w:val="Normal"/>
    <w:link w:val="IntenseQuoteChar"/>
    <w:uiPriority w:val="30"/>
    <w:qFormat/>
    <w:rsid w:val="00DE018F"/>
    <w:pPr>
      <w:ind w:left="720" w:right="720"/>
    </w:pPr>
    <w:rPr>
      <w:b/>
      <w:i/>
      <w:szCs w:val="22"/>
    </w:rPr>
  </w:style>
  <w:style w:type="character" w:customStyle="1" w:styleId="IntenseQuoteChar">
    <w:name w:val="Intense Quote Char"/>
    <w:basedOn w:val="DefaultParagraphFont"/>
    <w:link w:val="IntenseQuote"/>
    <w:uiPriority w:val="30"/>
    <w:rsid w:val="00DE018F"/>
    <w:rPr>
      <w:b/>
      <w:i/>
      <w:sz w:val="24"/>
    </w:rPr>
  </w:style>
  <w:style w:type="character" w:styleId="SubtleEmphasis">
    <w:name w:val="Subtle Emphasis"/>
    <w:uiPriority w:val="19"/>
    <w:qFormat/>
    <w:rsid w:val="00DE018F"/>
    <w:rPr>
      <w:i/>
      <w:color w:val="5A5A5A" w:themeColor="text1" w:themeTint="A5"/>
    </w:rPr>
  </w:style>
  <w:style w:type="character" w:styleId="IntenseEmphasis">
    <w:name w:val="Intense Emphasis"/>
    <w:basedOn w:val="DefaultParagraphFont"/>
    <w:uiPriority w:val="21"/>
    <w:qFormat/>
    <w:rsid w:val="00DE018F"/>
    <w:rPr>
      <w:b/>
      <w:i/>
      <w:sz w:val="24"/>
      <w:szCs w:val="24"/>
      <w:u w:val="single"/>
    </w:rPr>
  </w:style>
  <w:style w:type="character" w:styleId="SubtleReference">
    <w:name w:val="Subtle Reference"/>
    <w:basedOn w:val="DefaultParagraphFont"/>
    <w:uiPriority w:val="31"/>
    <w:qFormat/>
    <w:rsid w:val="00DE018F"/>
    <w:rPr>
      <w:sz w:val="24"/>
      <w:szCs w:val="24"/>
      <w:u w:val="single"/>
    </w:rPr>
  </w:style>
  <w:style w:type="character" w:styleId="IntenseReference">
    <w:name w:val="Intense Reference"/>
    <w:basedOn w:val="DefaultParagraphFont"/>
    <w:uiPriority w:val="32"/>
    <w:qFormat/>
    <w:rsid w:val="00DE018F"/>
    <w:rPr>
      <w:b/>
      <w:sz w:val="24"/>
      <w:u w:val="single"/>
    </w:rPr>
  </w:style>
  <w:style w:type="character" w:styleId="BookTitle">
    <w:name w:val="Book Title"/>
    <w:basedOn w:val="DefaultParagraphFont"/>
    <w:uiPriority w:val="33"/>
    <w:qFormat/>
    <w:rsid w:val="00DE018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E018F"/>
    <w:pPr>
      <w:outlineLvl w:val="9"/>
    </w:pPr>
  </w:style>
  <w:style w:type="paragraph" w:styleId="BalloonText">
    <w:name w:val="Balloon Text"/>
    <w:basedOn w:val="Normal"/>
    <w:link w:val="BalloonTextChar"/>
    <w:uiPriority w:val="99"/>
    <w:semiHidden/>
    <w:unhideWhenUsed/>
    <w:rsid w:val="00C211B0"/>
    <w:rPr>
      <w:rFonts w:ascii="Tahoma" w:hAnsi="Tahoma" w:cs="Tahoma"/>
      <w:sz w:val="16"/>
      <w:szCs w:val="16"/>
    </w:rPr>
  </w:style>
  <w:style w:type="character" w:customStyle="1" w:styleId="BalloonTextChar">
    <w:name w:val="Balloon Text Char"/>
    <w:basedOn w:val="DefaultParagraphFont"/>
    <w:link w:val="BalloonText"/>
    <w:uiPriority w:val="99"/>
    <w:semiHidden/>
    <w:rsid w:val="00C211B0"/>
    <w:rPr>
      <w:rFonts w:ascii="Tahoma" w:hAnsi="Tahoma" w:cs="Tahoma"/>
      <w:sz w:val="16"/>
      <w:szCs w:val="16"/>
    </w:rPr>
  </w:style>
  <w:style w:type="paragraph" w:styleId="NormalWeb">
    <w:name w:val="Normal (Web)"/>
    <w:basedOn w:val="Normal"/>
    <w:uiPriority w:val="99"/>
    <w:semiHidden/>
    <w:unhideWhenUsed/>
    <w:rsid w:val="00C211B0"/>
    <w:pPr>
      <w:spacing w:after="150"/>
    </w:pPr>
    <w:rPr>
      <w:rFonts w:ascii="Times New Roman" w:eastAsia="Times New Roman" w:hAnsi="Times New Roman"/>
      <w:sz w:val="24"/>
      <w:lang w:eastAsia="en-IE"/>
    </w:rPr>
  </w:style>
  <w:style w:type="character" w:styleId="Hyperlink">
    <w:name w:val="Hyperlink"/>
    <w:basedOn w:val="DefaultParagraphFont"/>
    <w:uiPriority w:val="99"/>
    <w:unhideWhenUsed/>
    <w:rsid w:val="00C211B0"/>
    <w:rPr>
      <w:color w:val="0000FF" w:themeColor="hyperlink"/>
      <w:u w:val="single"/>
    </w:rPr>
  </w:style>
  <w:style w:type="paragraph" w:customStyle="1" w:styleId="Default">
    <w:name w:val="Default"/>
    <w:rsid w:val="009A18D9"/>
    <w:pPr>
      <w:autoSpaceDE w:val="0"/>
      <w:autoSpaceDN w:val="0"/>
      <w:adjustRightInd w:val="0"/>
    </w:pPr>
    <w:rPr>
      <w:rFonts w:cs="Verdana"/>
      <w:color w:val="000000"/>
      <w:sz w:val="24"/>
    </w:rPr>
  </w:style>
  <w:style w:type="paragraph" w:styleId="Header">
    <w:name w:val="header"/>
    <w:basedOn w:val="Normal"/>
    <w:link w:val="HeaderChar"/>
    <w:uiPriority w:val="99"/>
    <w:unhideWhenUsed/>
    <w:rsid w:val="00B33496"/>
    <w:pPr>
      <w:tabs>
        <w:tab w:val="center" w:pos="4513"/>
        <w:tab w:val="right" w:pos="9026"/>
      </w:tabs>
    </w:pPr>
  </w:style>
  <w:style w:type="character" w:customStyle="1" w:styleId="HeaderChar">
    <w:name w:val="Header Char"/>
    <w:basedOn w:val="DefaultParagraphFont"/>
    <w:link w:val="Header"/>
    <w:uiPriority w:val="99"/>
    <w:rsid w:val="00B33496"/>
  </w:style>
  <w:style w:type="paragraph" w:styleId="Footer">
    <w:name w:val="footer"/>
    <w:basedOn w:val="Normal"/>
    <w:link w:val="FooterChar"/>
    <w:uiPriority w:val="99"/>
    <w:unhideWhenUsed/>
    <w:rsid w:val="00B33496"/>
    <w:pPr>
      <w:tabs>
        <w:tab w:val="center" w:pos="4513"/>
        <w:tab w:val="right" w:pos="9026"/>
      </w:tabs>
    </w:pPr>
  </w:style>
  <w:style w:type="character" w:customStyle="1" w:styleId="FooterChar">
    <w:name w:val="Footer Char"/>
    <w:basedOn w:val="DefaultParagraphFont"/>
    <w:link w:val="Footer"/>
    <w:uiPriority w:val="99"/>
    <w:rsid w:val="00B33496"/>
  </w:style>
  <w:style w:type="table" w:styleId="TableGrid">
    <w:name w:val="Table Grid"/>
    <w:basedOn w:val="TableNormal"/>
    <w:uiPriority w:val="59"/>
    <w:rsid w:val="00B33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68C5"/>
    <w:rPr>
      <w:color w:val="800080" w:themeColor="followedHyperlink"/>
      <w:u w:val="single"/>
    </w:rPr>
  </w:style>
  <w:style w:type="character" w:styleId="CommentReference">
    <w:name w:val="annotation reference"/>
    <w:basedOn w:val="DefaultParagraphFont"/>
    <w:uiPriority w:val="99"/>
    <w:semiHidden/>
    <w:unhideWhenUsed/>
    <w:rsid w:val="0068092E"/>
    <w:rPr>
      <w:sz w:val="16"/>
      <w:szCs w:val="16"/>
    </w:rPr>
  </w:style>
  <w:style w:type="paragraph" w:styleId="CommentText">
    <w:name w:val="annotation text"/>
    <w:basedOn w:val="Normal"/>
    <w:link w:val="CommentTextChar"/>
    <w:uiPriority w:val="99"/>
    <w:semiHidden/>
    <w:unhideWhenUsed/>
    <w:rsid w:val="0068092E"/>
    <w:rPr>
      <w:sz w:val="20"/>
      <w:szCs w:val="20"/>
    </w:rPr>
  </w:style>
  <w:style w:type="character" w:customStyle="1" w:styleId="CommentTextChar">
    <w:name w:val="Comment Text Char"/>
    <w:basedOn w:val="DefaultParagraphFont"/>
    <w:link w:val="CommentText"/>
    <w:uiPriority w:val="99"/>
    <w:semiHidden/>
    <w:rsid w:val="0068092E"/>
    <w:rPr>
      <w:sz w:val="20"/>
      <w:szCs w:val="20"/>
    </w:rPr>
  </w:style>
  <w:style w:type="paragraph" w:styleId="CommentSubject">
    <w:name w:val="annotation subject"/>
    <w:basedOn w:val="CommentText"/>
    <w:next w:val="CommentText"/>
    <w:link w:val="CommentSubjectChar"/>
    <w:uiPriority w:val="99"/>
    <w:semiHidden/>
    <w:unhideWhenUsed/>
    <w:rsid w:val="0068092E"/>
    <w:rPr>
      <w:b/>
      <w:bCs/>
    </w:rPr>
  </w:style>
  <w:style w:type="character" w:customStyle="1" w:styleId="CommentSubjectChar">
    <w:name w:val="Comment Subject Char"/>
    <w:basedOn w:val="CommentTextChar"/>
    <w:link w:val="CommentSubject"/>
    <w:uiPriority w:val="99"/>
    <w:semiHidden/>
    <w:rsid w:val="0068092E"/>
    <w:rPr>
      <w:b/>
      <w:bCs/>
      <w:sz w:val="20"/>
      <w:szCs w:val="20"/>
    </w:rPr>
  </w:style>
  <w:style w:type="character" w:styleId="UnresolvedMention">
    <w:name w:val="Unresolved Mention"/>
    <w:basedOn w:val="DefaultParagraphFont"/>
    <w:uiPriority w:val="99"/>
    <w:semiHidden/>
    <w:unhideWhenUsed/>
    <w:rsid w:val="00A76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0235">
      <w:bodyDiv w:val="1"/>
      <w:marLeft w:val="0"/>
      <w:marRight w:val="0"/>
      <w:marTop w:val="0"/>
      <w:marBottom w:val="0"/>
      <w:divBdr>
        <w:top w:val="none" w:sz="0" w:space="0" w:color="auto"/>
        <w:left w:val="none" w:sz="0" w:space="0" w:color="auto"/>
        <w:bottom w:val="none" w:sz="0" w:space="0" w:color="auto"/>
        <w:right w:val="none" w:sz="0" w:space="0" w:color="auto"/>
      </w:divBdr>
      <w:divsChild>
        <w:div w:id="1863743313">
          <w:marLeft w:val="0"/>
          <w:marRight w:val="0"/>
          <w:marTop w:val="0"/>
          <w:marBottom w:val="0"/>
          <w:divBdr>
            <w:top w:val="none" w:sz="0" w:space="0" w:color="auto"/>
            <w:left w:val="none" w:sz="0" w:space="0" w:color="auto"/>
            <w:bottom w:val="none" w:sz="0" w:space="0" w:color="auto"/>
            <w:right w:val="none" w:sz="0" w:space="0" w:color="auto"/>
          </w:divBdr>
          <w:divsChild>
            <w:div w:id="715814169">
              <w:marLeft w:val="-225"/>
              <w:marRight w:val="-225"/>
              <w:marTop w:val="0"/>
              <w:marBottom w:val="0"/>
              <w:divBdr>
                <w:top w:val="none" w:sz="0" w:space="0" w:color="auto"/>
                <w:left w:val="none" w:sz="0" w:space="0" w:color="auto"/>
                <w:bottom w:val="none" w:sz="0" w:space="0" w:color="auto"/>
                <w:right w:val="none" w:sz="0" w:space="0" w:color="auto"/>
              </w:divBdr>
              <w:divsChild>
                <w:div w:id="8562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2355">
      <w:bodyDiv w:val="1"/>
      <w:marLeft w:val="0"/>
      <w:marRight w:val="0"/>
      <w:marTop w:val="0"/>
      <w:marBottom w:val="0"/>
      <w:divBdr>
        <w:top w:val="none" w:sz="0" w:space="0" w:color="auto"/>
        <w:left w:val="none" w:sz="0" w:space="0" w:color="auto"/>
        <w:bottom w:val="none" w:sz="0" w:space="0" w:color="auto"/>
        <w:right w:val="none" w:sz="0" w:space="0" w:color="auto"/>
      </w:divBdr>
      <w:divsChild>
        <w:div w:id="347489984">
          <w:marLeft w:val="0"/>
          <w:marRight w:val="0"/>
          <w:marTop w:val="0"/>
          <w:marBottom w:val="0"/>
          <w:divBdr>
            <w:top w:val="none" w:sz="0" w:space="0" w:color="auto"/>
            <w:left w:val="none" w:sz="0" w:space="0" w:color="auto"/>
            <w:bottom w:val="none" w:sz="0" w:space="0" w:color="auto"/>
            <w:right w:val="none" w:sz="0" w:space="0" w:color="auto"/>
          </w:divBdr>
          <w:divsChild>
            <w:div w:id="588544593">
              <w:marLeft w:val="-225"/>
              <w:marRight w:val="-225"/>
              <w:marTop w:val="0"/>
              <w:marBottom w:val="0"/>
              <w:divBdr>
                <w:top w:val="none" w:sz="0" w:space="0" w:color="auto"/>
                <w:left w:val="none" w:sz="0" w:space="0" w:color="auto"/>
                <w:bottom w:val="none" w:sz="0" w:space="0" w:color="auto"/>
                <w:right w:val="none" w:sz="0" w:space="0" w:color="auto"/>
              </w:divBdr>
              <w:divsChild>
                <w:div w:id="986397574">
                  <w:marLeft w:val="0"/>
                  <w:marRight w:val="0"/>
                  <w:marTop w:val="0"/>
                  <w:marBottom w:val="0"/>
                  <w:divBdr>
                    <w:top w:val="none" w:sz="0" w:space="0" w:color="auto"/>
                    <w:left w:val="none" w:sz="0" w:space="0" w:color="auto"/>
                    <w:bottom w:val="none" w:sz="0" w:space="0" w:color="auto"/>
                    <w:right w:val="none" w:sz="0" w:space="0" w:color="auto"/>
                  </w:divBdr>
                  <w:divsChild>
                    <w:div w:id="388840697">
                      <w:marLeft w:val="-450"/>
                      <w:marRight w:val="-450"/>
                      <w:marTop w:val="0"/>
                      <w:marBottom w:val="480"/>
                      <w:divBdr>
                        <w:top w:val="none" w:sz="0" w:space="0" w:color="auto"/>
                        <w:left w:val="none" w:sz="0" w:space="0" w:color="auto"/>
                        <w:bottom w:val="single" w:sz="6" w:space="0" w:color="E2E2E2"/>
                        <w:right w:val="none" w:sz="0" w:space="0" w:color="auto"/>
                      </w:divBdr>
                      <w:divsChild>
                        <w:div w:id="57751923">
                          <w:marLeft w:val="0"/>
                          <w:marRight w:val="0"/>
                          <w:marTop w:val="0"/>
                          <w:marBottom w:val="0"/>
                          <w:divBdr>
                            <w:top w:val="none" w:sz="0" w:space="0" w:color="auto"/>
                            <w:left w:val="none" w:sz="0" w:space="0" w:color="auto"/>
                            <w:bottom w:val="none" w:sz="0" w:space="0" w:color="auto"/>
                            <w:right w:val="none" w:sz="0" w:space="0" w:color="auto"/>
                          </w:divBdr>
                          <w:divsChild>
                            <w:div w:id="940602052">
                              <w:marLeft w:val="-225"/>
                              <w:marRight w:val="-225"/>
                              <w:marTop w:val="0"/>
                              <w:marBottom w:val="0"/>
                              <w:divBdr>
                                <w:top w:val="none" w:sz="0" w:space="0" w:color="auto"/>
                                <w:left w:val="none" w:sz="0" w:space="0" w:color="auto"/>
                                <w:bottom w:val="none" w:sz="0" w:space="0" w:color="auto"/>
                                <w:right w:val="none" w:sz="0" w:space="0" w:color="auto"/>
                              </w:divBdr>
                              <w:divsChild>
                                <w:div w:id="141238823">
                                  <w:marLeft w:val="0"/>
                                  <w:marRight w:val="0"/>
                                  <w:marTop w:val="0"/>
                                  <w:marBottom w:val="0"/>
                                  <w:divBdr>
                                    <w:top w:val="none" w:sz="0" w:space="0" w:color="auto"/>
                                    <w:left w:val="none" w:sz="0" w:space="0" w:color="auto"/>
                                    <w:bottom w:val="none" w:sz="0" w:space="0" w:color="auto"/>
                                    <w:right w:val="none" w:sz="0" w:space="0" w:color="auto"/>
                                  </w:divBdr>
                                  <w:divsChild>
                                    <w:div w:id="1252157698">
                                      <w:marLeft w:val="0"/>
                                      <w:marRight w:val="0"/>
                                      <w:marTop w:val="0"/>
                                      <w:marBottom w:val="0"/>
                                      <w:divBdr>
                                        <w:top w:val="none" w:sz="0" w:space="0" w:color="auto"/>
                                        <w:left w:val="none" w:sz="0" w:space="0" w:color="auto"/>
                                        <w:bottom w:val="none" w:sz="0" w:space="0" w:color="auto"/>
                                        <w:right w:val="none" w:sz="0" w:space="0" w:color="auto"/>
                                      </w:divBdr>
                                      <w:divsChild>
                                        <w:div w:id="109015186">
                                          <w:marLeft w:val="-225"/>
                                          <w:marRight w:val="-225"/>
                                          <w:marTop w:val="0"/>
                                          <w:marBottom w:val="0"/>
                                          <w:divBdr>
                                            <w:top w:val="none" w:sz="0" w:space="0" w:color="auto"/>
                                            <w:left w:val="none" w:sz="0" w:space="0" w:color="auto"/>
                                            <w:bottom w:val="none" w:sz="0" w:space="0" w:color="auto"/>
                                            <w:right w:val="none" w:sz="0" w:space="0" w:color="auto"/>
                                          </w:divBdr>
                                          <w:divsChild>
                                            <w:div w:id="10754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so.org/committee/4514241/x/catalogue/p/1/u/1/w/0/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suzanne.bracken@crdi.ie"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linda.hendy@nsai.i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andards.ie" TargetMode="External"/><Relationship Id="rId1" Type="http://schemas.openxmlformats.org/officeDocument/2006/relationships/hyperlink" Target="http://www.nsa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Hendy</dc:creator>
  <cp:lastModifiedBy>Dawn Lonergan</cp:lastModifiedBy>
  <cp:revision>2</cp:revision>
  <dcterms:created xsi:type="dcterms:W3CDTF">2019-11-04T16:46:00Z</dcterms:created>
  <dcterms:modified xsi:type="dcterms:W3CDTF">2019-11-04T16:46:00Z</dcterms:modified>
</cp:coreProperties>
</file>