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63"/>
        <w:gridCol w:w="267"/>
        <w:gridCol w:w="3026"/>
        <w:gridCol w:w="3160"/>
      </w:tblGrid>
      <w:tr w:rsidR="00874F89" w:rsidTr="00480AFB">
        <w:trPr>
          <w:tblHeader/>
        </w:trPr>
        <w:tc>
          <w:tcPr>
            <w:tcW w:w="9016" w:type="dxa"/>
            <w:gridSpan w:val="4"/>
            <w:shd w:val="clear" w:color="auto" w:fill="D9D9D9" w:themeFill="background1" w:themeFillShade="D9"/>
          </w:tcPr>
          <w:p w:rsidR="00874F89" w:rsidRDefault="00874F89" w:rsidP="00874F89">
            <w:pPr>
              <w:pStyle w:val="Default"/>
              <w:rPr>
                <w:sz w:val="21"/>
                <w:szCs w:val="21"/>
              </w:rPr>
            </w:pPr>
            <w:bookmarkStart w:id="0" w:name="_GoBack"/>
            <w:bookmarkEnd w:id="0"/>
          </w:p>
          <w:p w:rsidR="00874F89" w:rsidRDefault="00874F89" w:rsidP="00480AFB">
            <w:pPr>
              <w:pStyle w:val="Default"/>
              <w:rPr>
                <w:sz w:val="21"/>
                <w:szCs w:val="21"/>
              </w:rPr>
            </w:pPr>
            <w:r>
              <w:rPr>
                <w:sz w:val="21"/>
                <w:szCs w:val="21"/>
              </w:rPr>
              <w:t>Additional Guidance to Harmonised Standards falling under remit of Construction Products Regulation (EU) No 305</w:t>
            </w:r>
            <w:r w:rsidRPr="00874F89">
              <w:rPr>
                <w:sz w:val="21"/>
                <w:szCs w:val="21"/>
              </w:rPr>
              <w:t>/2011</w:t>
            </w:r>
          </w:p>
          <w:p w:rsidR="00480AFB" w:rsidRPr="00874F89" w:rsidRDefault="00480AFB" w:rsidP="00480AFB">
            <w:pPr>
              <w:pStyle w:val="Default"/>
              <w:rPr>
                <w:sz w:val="21"/>
                <w:szCs w:val="21"/>
              </w:rPr>
            </w:pPr>
          </w:p>
        </w:tc>
      </w:tr>
      <w:tr w:rsidR="00874F89" w:rsidTr="00480AFB">
        <w:tc>
          <w:tcPr>
            <w:tcW w:w="9016" w:type="dxa"/>
            <w:gridSpan w:val="4"/>
          </w:tcPr>
          <w:p w:rsidR="00874F89" w:rsidRDefault="00874F89" w:rsidP="00874F89">
            <w:pPr>
              <w:pStyle w:val="Default"/>
              <w:rPr>
                <w:i/>
                <w:iCs/>
                <w:sz w:val="21"/>
                <w:szCs w:val="21"/>
              </w:rPr>
            </w:pPr>
          </w:p>
          <w:p w:rsidR="00874F89" w:rsidRDefault="00874F89" w:rsidP="00480AFB">
            <w:pPr>
              <w:pStyle w:val="Default"/>
              <w:rPr>
                <w:sz w:val="21"/>
                <w:szCs w:val="21"/>
              </w:rPr>
            </w:pPr>
            <w:r w:rsidRPr="00480AFB">
              <w:rPr>
                <w:i/>
                <w:iCs/>
                <w:sz w:val="18"/>
                <w:szCs w:val="21"/>
              </w:rPr>
              <w:t>NSAI has produced additional guidance to some harmonised standards (</w:t>
            </w:r>
            <w:proofErr w:type="spellStart"/>
            <w:r w:rsidRPr="00480AFB">
              <w:rPr>
                <w:i/>
                <w:iCs/>
                <w:sz w:val="18"/>
                <w:szCs w:val="21"/>
              </w:rPr>
              <w:t>hENs</w:t>
            </w:r>
            <w:proofErr w:type="spellEnd"/>
            <w:r w:rsidRPr="00480AFB">
              <w:rPr>
                <w:i/>
                <w:iCs/>
                <w:sz w:val="18"/>
                <w:szCs w:val="21"/>
              </w:rPr>
              <w:t xml:space="preserve">) in the form of National Annexes or Standard Recommendations (SRs),setting out appropriate minimum performance levels for specific intended uses of the product in Ireland. List of these can be viewed on the </w:t>
            </w:r>
            <w:hyperlink r:id="rId7" w:history="1">
              <w:r w:rsidRPr="00480AFB">
                <w:rPr>
                  <w:rStyle w:val="Hyperlink"/>
                  <w:i/>
                  <w:iCs/>
                  <w:sz w:val="18"/>
                  <w:szCs w:val="21"/>
                </w:rPr>
                <w:t>NSAI website</w:t>
              </w:r>
            </w:hyperlink>
            <w:r w:rsidRPr="00480AFB">
              <w:rPr>
                <w:i/>
                <w:iCs/>
                <w:sz w:val="18"/>
                <w:szCs w:val="21"/>
              </w:rPr>
              <w:t>. Engineers, architects, specifiers and builders are free to demand performance in excess of these levels</w:t>
            </w:r>
            <w:r w:rsidRPr="00874F89">
              <w:rPr>
                <w:i/>
                <w:iCs/>
                <w:sz w:val="21"/>
                <w:szCs w:val="21"/>
              </w:rPr>
              <w:t>.</w:t>
            </w:r>
          </w:p>
        </w:tc>
      </w:tr>
      <w:tr w:rsidR="00630E39" w:rsidTr="00480AFB">
        <w:tc>
          <w:tcPr>
            <w:tcW w:w="2563" w:type="dxa"/>
          </w:tcPr>
          <w:p w:rsidR="00630E39" w:rsidRDefault="00630E39" w:rsidP="00630E39">
            <w:pPr>
              <w:pStyle w:val="Default"/>
              <w:rPr>
                <w:b/>
                <w:bCs/>
                <w:sz w:val="19"/>
                <w:szCs w:val="19"/>
              </w:rPr>
            </w:pPr>
          </w:p>
          <w:p w:rsidR="00630E39" w:rsidRDefault="00630E39" w:rsidP="00630E39">
            <w:pPr>
              <w:pStyle w:val="Default"/>
              <w:rPr>
                <w:sz w:val="19"/>
                <w:szCs w:val="19"/>
              </w:rPr>
            </w:pPr>
            <w:r>
              <w:rPr>
                <w:b/>
                <w:bCs/>
                <w:sz w:val="19"/>
                <w:szCs w:val="19"/>
              </w:rPr>
              <w:t>I.S. EN Reference</w:t>
            </w:r>
          </w:p>
        </w:tc>
        <w:tc>
          <w:tcPr>
            <w:tcW w:w="3293" w:type="dxa"/>
            <w:gridSpan w:val="2"/>
            <w:vAlign w:val="center"/>
          </w:tcPr>
          <w:p w:rsidR="00630E39" w:rsidRDefault="00630E39" w:rsidP="00630E39">
            <w:pPr>
              <w:pStyle w:val="Default"/>
              <w:rPr>
                <w:sz w:val="19"/>
                <w:szCs w:val="19"/>
              </w:rPr>
            </w:pPr>
            <w:r>
              <w:rPr>
                <w:b/>
                <w:bCs/>
                <w:sz w:val="19"/>
                <w:szCs w:val="19"/>
              </w:rPr>
              <w:t>Title</w:t>
            </w:r>
          </w:p>
        </w:tc>
        <w:tc>
          <w:tcPr>
            <w:tcW w:w="3160" w:type="dxa"/>
          </w:tcPr>
          <w:p w:rsidR="00874F89" w:rsidRDefault="00874F89" w:rsidP="00874F89">
            <w:pPr>
              <w:pStyle w:val="Default"/>
              <w:rPr>
                <w:b/>
                <w:bCs/>
                <w:sz w:val="19"/>
                <w:szCs w:val="19"/>
              </w:rPr>
            </w:pPr>
          </w:p>
          <w:p w:rsidR="00630E39" w:rsidRDefault="00874F89" w:rsidP="00874F89">
            <w:r w:rsidRPr="008B0D07">
              <w:rPr>
                <w:rFonts w:ascii="Verdana" w:hAnsi="Verdana" w:cs="Verdana"/>
                <w:b/>
                <w:bCs/>
                <w:color w:val="000000"/>
                <w:sz w:val="19"/>
                <w:szCs w:val="19"/>
              </w:rPr>
              <w:t>Title/source of national guidance</w:t>
            </w:r>
          </w:p>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I.S. EN 771</w:t>
            </w:r>
            <w:r>
              <w:rPr>
                <w:sz w:val="17"/>
                <w:szCs w:val="17"/>
              </w:rPr>
              <w:t>-1:</w:t>
            </w:r>
            <w:r w:rsidRPr="008D4174">
              <w:rPr>
                <w:sz w:val="17"/>
                <w:szCs w:val="17"/>
              </w:rPr>
              <w:t>2011 + A1: 2015</w:t>
            </w:r>
          </w:p>
        </w:tc>
        <w:tc>
          <w:tcPr>
            <w:tcW w:w="3293" w:type="dxa"/>
            <w:gridSpan w:val="2"/>
          </w:tcPr>
          <w:p w:rsidR="00874F89" w:rsidRDefault="00874F89" w:rsidP="00874F89">
            <w:pPr>
              <w:pStyle w:val="Default"/>
              <w:rPr>
                <w:sz w:val="17"/>
                <w:szCs w:val="17"/>
              </w:rPr>
            </w:pPr>
          </w:p>
          <w:p w:rsidR="00874F89" w:rsidRDefault="00874F89" w:rsidP="00874F89">
            <w:pPr>
              <w:pStyle w:val="Default"/>
              <w:rPr>
                <w:sz w:val="17"/>
                <w:szCs w:val="17"/>
              </w:rPr>
            </w:pPr>
            <w:r>
              <w:rPr>
                <w:sz w:val="17"/>
                <w:szCs w:val="17"/>
              </w:rPr>
              <w:t xml:space="preserve">Specification for masonry units -Part 1: Clay masonry units </w:t>
            </w:r>
          </w:p>
        </w:tc>
        <w:tc>
          <w:tcPr>
            <w:tcW w:w="3160" w:type="dxa"/>
            <w:vMerge w:val="restart"/>
          </w:tcPr>
          <w:p w:rsidR="00874F89" w:rsidRDefault="00874F89" w:rsidP="00874F89">
            <w:pPr>
              <w:pStyle w:val="Default"/>
              <w:rPr>
                <w:sz w:val="17"/>
                <w:szCs w:val="17"/>
              </w:rPr>
            </w:pPr>
          </w:p>
          <w:p w:rsidR="00874F89" w:rsidRPr="00B71E7B" w:rsidRDefault="00874F89" w:rsidP="00874F89">
            <w:pPr>
              <w:pStyle w:val="Default"/>
              <w:rPr>
                <w:sz w:val="17"/>
                <w:szCs w:val="17"/>
              </w:rPr>
            </w:pPr>
            <w:r>
              <w:rPr>
                <w:sz w:val="17"/>
                <w:szCs w:val="17"/>
              </w:rPr>
              <w:t xml:space="preserve">S.R. 325: 2013+A1:2014 </w:t>
            </w:r>
            <w:r w:rsidRPr="00B71E7B">
              <w:rPr>
                <w:sz w:val="17"/>
                <w:szCs w:val="17"/>
              </w:rPr>
              <w:t>Recommendations for the design of masonry structures in Ireland to Eurocode 6</w:t>
            </w:r>
          </w:p>
          <w:p w:rsidR="00874F89" w:rsidRDefault="00874F89" w:rsidP="00874F89">
            <w:pPr>
              <w:pStyle w:val="Default"/>
              <w:rPr>
                <w:sz w:val="17"/>
                <w:szCs w:val="17"/>
              </w:rPr>
            </w:pPr>
          </w:p>
          <w:p w:rsidR="00874F89" w:rsidRDefault="00874F89" w:rsidP="00874F89">
            <w:pPr>
              <w:pStyle w:val="Default"/>
              <w:rPr>
                <w:sz w:val="17"/>
                <w:szCs w:val="17"/>
              </w:rPr>
            </w:pPr>
          </w:p>
          <w:p w:rsidR="00874F89" w:rsidRDefault="00874F89" w:rsidP="00874F89">
            <w:pPr>
              <w:pStyle w:val="Default"/>
              <w:rPr>
                <w:sz w:val="17"/>
                <w:szCs w:val="17"/>
              </w:rPr>
            </w:pPr>
          </w:p>
          <w:p w:rsidR="00874F89" w:rsidRDefault="00874F89" w:rsidP="00874F89">
            <w:pPr>
              <w:pStyle w:val="Default"/>
              <w:rPr>
                <w:sz w:val="17"/>
                <w:szCs w:val="17"/>
              </w:rPr>
            </w:pPr>
          </w:p>
          <w:p w:rsidR="00874F89" w:rsidRDefault="00874F89" w:rsidP="00874F89">
            <w:pPr>
              <w:pStyle w:val="Default"/>
              <w:rPr>
                <w:sz w:val="17"/>
                <w:szCs w:val="17"/>
              </w:rPr>
            </w:pPr>
          </w:p>
          <w:p w:rsidR="00874F89" w:rsidRPr="00DB1566" w:rsidRDefault="00874F89" w:rsidP="00874F89">
            <w:pPr>
              <w:pStyle w:val="Default"/>
              <w:rPr>
                <w:i/>
                <w:sz w:val="17"/>
                <w:szCs w:val="17"/>
              </w:rPr>
            </w:pPr>
            <w:r w:rsidRPr="00DB1566">
              <w:rPr>
                <w:i/>
                <w:sz w:val="17"/>
                <w:szCs w:val="17"/>
              </w:rPr>
              <w:t>Note: SR 325:2013 +A1:2014 incorporates guidance for use of masonry products. It is currently being revised to include guidance to:</w:t>
            </w:r>
          </w:p>
          <w:p w:rsidR="00874F89" w:rsidRPr="00DB1566" w:rsidRDefault="00874F89" w:rsidP="00874F89">
            <w:pPr>
              <w:pStyle w:val="Default"/>
              <w:rPr>
                <w:i/>
                <w:sz w:val="17"/>
                <w:szCs w:val="17"/>
              </w:rPr>
            </w:pPr>
            <w:r w:rsidRPr="00DB1566">
              <w:rPr>
                <w:i/>
                <w:sz w:val="17"/>
                <w:szCs w:val="17"/>
              </w:rPr>
              <w:t xml:space="preserve">a) I.S.EN 13914-1:2016, Design, preparation and application of external rendering and internal plastering - Part 1: External rendering, </w:t>
            </w:r>
            <w:r w:rsidRPr="00F47D41">
              <w:rPr>
                <w:sz w:val="17"/>
                <w:szCs w:val="17"/>
              </w:rPr>
              <w:t>in particular providing for the continuity of advice previously contained in</w:t>
            </w:r>
            <w:r w:rsidRPr="00DB1566">
              <w:rPr>
                <w:i/>
                <w:sz w:val="17"/>
                <w:szCs w:val="17"/>
              </w:rPr>
              <w:t xml:space="preserve"> BS 5262 Code of practice for External renderings. </w:t>
            </w:r>
          </w:p>
          <w:p w:rsidR="00874F89" w:rsidRPr="00DB1566" w:rsidRDefault="00874F89" w:rsidP="00874F89">
            <w:pPr>
              <w:pStyle w:val="Default"/>
              <w:rPr>
                <w:i/>
                <w:sz w:val="17"/>
                <w:szCs w:val="17"/>
              </w:rPr>
            </w:pPr>
            <w:r w:rsidRPr="00DB1566">
              <w:rPr>
                <w:i/>
                <w:sz w:val="17"/>
                <w:szCs w:val="17"/>
              </w:rPr>
              <w:t>b) I.S. EN 771</w:t>
            </w:r>
            <w:r>
              <w:rPr>
                <w:i/>
                <w:sz w:val="17"/>
                <w:szCs w:val="17"/>
              </w:rPr>
              <w:t xml:space="preserve"> </w:t>
            </w:r>
            <w:r w:rsidRPr="00DB1566">
              <w:rPr>
                <w:i/>
                <w:sz w:val="17"/>
                <w:szCs w:val="17"/>
              </w:rPr>
              <w:t>A1:2015 Specification for masonry units</w:t>
            </w:r>
          </w:p>
          <w:p w:rsidR="00874F89" w:rsidRPr="00DB1566" w:rsidRDefault="00874F89" w:rsidP="00874F89">
            <w:pPr>
              <w:pStyle w:val="Default"/>
              <w:rPr>
                <w:i/>
                <w:sz w:val="17"/>
                <w:szCs w:val="17"/>
              </w:rPr>
            </w:pPr>
            <w:r w:rsidRPr="00DB1566">
              <w:rPr>
                <w:i/>
                <w:sz w:val="17"/>
                <w:szCs w:val="17"/>
              </w:rPr>
              <w:t>c) I.S. EN 845 A1:2016 Specification for ancillary components for masonry</w:t>
            </w:r>
          </w:p>
          <w:p w:rsidR="00874F89" w:rsidRPr="00DB1566" w:rsidRDefault="00874F89" w:rsidP="00874F89">
            <w:pPr>
              <w:pStyle w:val="Default"/>
              <w:rPr>
                <w:i/>
                <w:sz w:val="17"/>
                <w:szCs w:val="17"/>
              </w:rPr>
            </w:pPr>
          </w:p>
          <w:p w:rsidR="00874F89" w:rsidRDefault="00874F89" w:rsidP="00F47D41">
            <w:pPr>
              <w:pStyle w:val="Default"/>
              <w:rPr>
                <w:sz w:val="17"/>
                <w:szCs w:val="17"/>
              </w:rPr>
            </w:pPr>
          </w:p>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 xml:space="preserve">I.S. EN 771-2:2011+ A1: 2015 </w:t>
            </w:r>
          </w:p>
        </w:tc>
        <w:tc>
          <w:tcPr>
            <w:tcW w:w="3293" w:type="dxa"/>
            <w:gridSpan w:val="2"/>
          </w:tcPr>
          <w:p w:rsidR="00874F89" w:rsidRDefault="00874F89" w:rsidP="00874F89">
            <w:pPr>
              <w:pStyle w:val="Default"/>
              <w:rPr>
                <w:sz w:val="17"/>
                <w:szCs w:val="17"/>
              </w:rPr>
            </w:pPr>
            <w:r>
              <w:rPr>
                <w:sz w:val="17"/>
                <w:szCs w:val="17"/>
              </w:rPr>
              <w:t xml:space="preserve">Specification for masonry units -Part 2: Calcium silicate masonry units </w:t>
            </w:r>
          </w:p>
        </w:tc>
        <w:tc>
          <w:tcPr>
            <w:tcW w:w="3160" w:type="dxa"/>
            <w:vMerge/>
          </w:tcPr>
          <w:p w:rsidR="00874F89" w:rsidRDefault="00874F89" w:rsidP="00874F89"/>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I.S. EN 771-3:2011+ A1: 2015</w:t>
            </w:r>
          </w:p>
        </w:tc>
        <w:tc>
          <w:tcPr>
            <w:tcW w:w="3293" w:type="dxa"/>
            <w:gridSpan w:val="2"/>
          </w:tcPr>
          <w:p w:rsidR="00874F89" w:rsidRDefault="00874F89" w:rsidP="00874F89">
            <w:pPr>
              <w:pStyle w:val="Default"/>
              <w:rPr>
                <w:sz w:val="17"/>
                <w:szCs w:val="17"/>
              </w:rPr>
            </w:pPr>
            <w:r>
              <w:rPr>
                <w:sz w:val="17"/>
                <w:szCs w:val="17"/>
              </w:rPr>
              <w:t xml:space="preserve">Specification for masonry units -Part 3: Aggregate concrete masonry units (Dense and lightweight aggregates) </w:t>
            </w:r>
          </w:p>
        </w:tc>
        <w:tc>
          <w:tcPr>
            <w:tcW w:w="3160" w:type="dxa"/>
            <w:vMerge/>
          </w:tcPr>
          <w:p w:rsidR="00874F89" w:rsidRDefault="00874F89" w:rsidP="00874F89"/>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I.S. EN 771-4:2011+ A1: 2015</w:t>
            </w:r>
          </w:p>
        </w:tc>
        <w:tc>
          <w:tcPr>
            <w:tcW w:w="3293" w:type="dxa"/>
            <w:gridSpan w:val="2"/>
          </w:tcPr>
          <w:p w:rsidR="00874F89" w:rsidRDefault="00874F89" w:rsidP="00874F89">
            <w:pPr>
              <w:pStyle w:val="Default"/>
              <w:rPr>
                <w:sz w:val="17"/>
                <w:szCs w:val="17"/>
              </w:rPr>
            </w:pPr>
            <w:r>
              <w:rPr>
                <w:sz w:val="17"/>
                <w:szCs w:val="17"/>
              </w:rPr>
              <w:t xml:space="preserve">Specification for masonry units -Part 4: Autoclaved aerated concrete masonry units </w:t>
            </w:r>
          </w:p>
        </w:tc>
        <w:tc>
          <w:tcPr>
            <w:tcW w:w="3160" w:type="dxa"/>
            <w:vMerge/>
          </w:tcPr>
          <w:p w:rsidR="00874F89" w:rsidRDefault="00874F89" w:rsidP="00874F89"/>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I.S. EN 771-5-2011+ A1: 2015</w:t>
            </w:r>
          </w:p>
        </w:tc>
        <w:tc>
          <w:tcPr>
            <w:tcW w:w="3293" w:type="dxa"/>
            <w:gridSpan w:val="2"/>
            <w:vAlign w:val="center"/>
          </w:tcPr>
          <w:p w:rsidR="00874F89" w:rsidRDefault="00874F89" w:rsidP="00874F89">
            <w:pPr>
              <w:pStyle w:val="Default"/>
              <w:rPr>
                <w:sz w:val="17"/>
                <w:szCs w:val="17"/>
              </w:rPr>
            </w:pPr>
            <w:r>
              <w:rPr>
                <w:sz w:val="17"/>
                <w:szCs w:val="17"/>
              </w:rPr>
              <w:t xml:space="preserve">Specification for masonry units -Part 5: Manufactured stone masonry units </w:t>
            </w:r>
          </w:p>
        </w:tc>
        <w:tc>
          <w:tcPr>
            <w:tcW w:w="3160" w:type="dxa"/>
            <w:vMerge/>
          </w:tcPr>
          <w:p w:rsidR="00874F89" w:rsidRDefault="00874F89" w:rsidP="00874F89"/>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I.S. EN 771-6:2011+ A1: 2015</w:t>
            </w:r>
          </w:p>
        </w:tc>
        <w:tc>
          <w:tcPr>
            <w:tcW w:w="3293" w:type="dxa"/>
            <w:gridSpan w:val="2"/>
          </w:tcPr>
          <w:p w:rsidR="00874F89" w:rsidRDefault="00874F89" w:rsidP="00874F89">
            <w:pPr>
              <w:pStyle w:val="Default"/>
              <w:rPr>
                <w:sz w:val="17"/>
                <w:szCs w:val="17"/>
              </w:rPr>
            </w:pPr>
            <w:r>
              <w:rPr>
                <w:sz w:val="17"/>
                <w:szCs w:val="17"/>
              </w:rPr>
              <w:t xml:space="preserve">Specification for masonry units -Part 6: Natural stone masonry units </w:t>
            </w:r>
          </w:p>
        </w:tc>
        <w:tc>
          <w:tcPr>
            <w:tcW w:w="3160" w:type="dxa"/>
            <w:vMerge/>
          </w:tcPr>
          <w:p w:rsidR="00874F89" w:rsidRDefault="00874F89" w:rsidP="00874F89"/>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 xml:space="preserve">I.S. EN 845-1:2013+ A1: 2016 </w:t>
            </w:r>
          </w:p>
        </w:tc>
        <w:tc>
          <w:tcPr>
            <w:tcW w:w="3293" w:type="dxa"/>
            <w:gridSpan w:val="2"/>
          </w:tcPr>
          <w:p w:rsidR="00874F89" w:rsidRDefault="00874F89" w:rsidP="00874F89">
            <w:pPr>
              <w:pStyle w:val="Default"/>
              <w:rPr>
                <w:sz w:val="17"/>
                <w:szCs w:val="17"/>
              </w:rPr>
            </w:pPr>
            <w:r>
              <w:rPr>
                <w:sz w:val="17"/>
                <w:szCs w:val="17"/>
              </w:rPr>
              <w:t xml:space="preserve">Specification for ancillary components for masonry - Part 1: Ties, tension straps, hangers and brackets </w:t>
            </w:r>
          </w:p>
        </w:tc>
        <w:tc>
          <w:tcPr>
            <w:tcW w:w="3160" w:type="dxa"/>
            <w:vMerge/>
          </w:tcPr>
          <w:p w:rsidR="00874F89" w:rsidRDefault="00874F89" w:rsidP="00874F89"/>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I.S. EN 845-2:2013+ A1: 2016</w:t>
            </w:r>
          </w:p>
        </w:tc>
        <w:tc>
          <w:tcPr>
            <w:tcW w:w="3293" w:type="dxa"/>
            <w:gridSpan w:val="2"/>
          </w:tcPr>
          <w:p w:rsidR="00874F89" w:rsidRDefault="00874F89" w:rsidP="00874F89">
            <w:pPr>
              <w:pStyle w:val="Default"/>
              <w:rPr>
                <w:sz w:val="17"/>
                <w:szCs w:val="17"/>
              </w:rPr>
            </w:pPr>
            <w:r>
              <w:rPr>
                <w:sz w:val="17"/>
                <w:szCs w:val="17"/>
              </w:rPr>
              <w:t xml:space="preserve">Specification for ancillary components for masonry - Part 2: Lintels </w:t>
            </w:r>
          </w:p>
        </w:tc>
        <w:tc>
          <w:tcPr>
            <w:tcW w:w="3160" w:type="dxa"/>
            <w:vMerge/>
          </w:tcPr>
          <w:p w:rsidR="00874F89" w:rsidRDefault="00874F89" w:rsidP="00874F89"/>
        </w:tc>
      </w:tr>
      <w:tr w:rsidR="00874F89" w:rsidTr="00480AFB">
        <w:tc>
          <w:tcPr>
            <w:tcW w:w="2563" w:type="dxa"/>
            <w:vAlign w:val="center"/>
          </w:tcPr>
          <w:p w:rsidR="00874F89" w:rsidRPr="008D4174" w:rsidRDefault="00874F89" w:rsidP="00874F89">
            <w:pPr>
              <w:pStyle w:val="Default"/>
              <w:rPr>
                <w:sz w:val="17"/>
                <w:szCs w:val="17"/>
              </w:rPr>
            </w:pPr>
            <w:r w:rsidRPr="008D4174">
              <w:rPr>
                <w:sz w:val="17"/>
                <w:szCs w:val="17"/>
              </w:rPr>
              <w:t xml:space="preserve">I.S. EN 845-3:2013+ A1: 2016  </w:t>
            </w:r>
          </w:p>
        </w:tc>
        <w:tc>
          <w:tcPr>
            <w:tcW w:w="3293" w:type="dxa"/>
            <w:gridSpan w:val="2"/>
          </w:tcPr>
          <w:p w:rsidR="00874F89" w:rsidRDefault="00874F89" w:rsidP="00874F89">
            <w:pPr>
              <w:pStyle w:val="Default"/>
              <w:rPr>
                <w:sz w:val="17"/>
                <w:szCs w:val="17"/>
              </w:rPr>
            </w:pPr>
            <w:r>
              <w:rPr>
                <w:sz w:val="17"/>
                <w:szCs w:val="17"/>
              </w:rPr>
              <w:t xml:space="preserve">Specification for ancillary components for masonry - Part 3: Bed joint reinforcement of steel meshwork </w:t>
            </w:r>
          </w:p>
        </w:tc>
        <w:tc>
          <w:tcPr>
            <w:tcW w:w="3160" w:type="dxa"/>
            <w:vMerge/>
          </w:tcPr>
          <w:p w:rsidR="00874F89" w:rsidRDefault="00874F89" w:rsidP="00874F89"/>
        </w:tc>
      </w:tr>
      <w:tr w:rsidR="00874F89" w:rsidTr="00480AFB">
        <w:tc>
          <w:tcPr>
            <w:tcW w:w="2563" w:type="dxa"/>
            <w:vAlign w:val="center"/>
          </w:tcPr>
          <w:p w:rsidR="00874F89" w:rsidRDefault="00874F89" w:rsidP="00874F89">
            <w:pPr>
              <w:pStyle w:val="Default"/>
              <w:rPr>
                <w:sz w:val="17"/>
                <w:szCs w:val="17"/>
              </w:rPr>
            </w:pPr>
            <w:r>
              <w:rPr>
                <w:sz w:val="17"/>
                <w:szCs w:val="17"/>
              </w:rPr>
              <w:t>I.S. EN 998-1:2016</w:t>
            </w:r>
          </w:p>
        </w:tc>
        <w:tc>
          <w:tcPr>
            <w:tcW w:w="3293" w:type="dxa"/>
            <w:gridSpan w:val="2"/>
          </w:tcPr>
          <w:p w:rsidR="00874F89" w:rsidRDefault="00874F89" w:rsidP="00874F89">
            <w:pPr>
              <w:pStyle w:val="Default"/>
              <w:rPr>
                <w:sz w:val="17"/>
                <w:szCs w:val="17"/>
              </w:rPr>
            </w:pPr>
            <w:r>
              <w:rPr>
                <w:sz w:val="17"/>
                <w:szCs w:val="17"/>
              </w:rPr>
              <w:t xml:space="preserve">Specification for mortar for masonry - Part 1: Rendering and plastering mortar </w:t>
            </w:r>
          </w:p>
        </w:tc>
        <w:tc>
          <w:tcPr>
            <w:tcW w:w="3160" w:type="dxa"/>
            <w:vMerge/>
          </w:tcPr>
          <w:p w:rsidR="00874F89" w:rsidRDefault="00874F89" w:rsidP="00874F89"/>
        </w:tc>
      </w:tr>
      <w:tr w:rsidR="00874F89" w:rsidTr="00480AFB">
        <w:tc>
          <w:tcPr>
            <w:tcW w:w="2563" w:type="dxa"/>
            <w:vAlign w:val="center"/>
          </w:tcPr>
          <w:p w:rsidR="00874F89" w:rsidRDefault="00874F89" w:rsidP="00874F89">
            <w:pPr>
              <w:pStyle w:val="Default"/>
              <w:rPr>
                <w:sz w:val="17"/>
                <w:szCs w:val="17"/>
              </w:rPr>
            </w:pPr>
            <w:r>
              <w:rPr>
                <w:sz w:val="17"/>
                <w:szCs w:val="17"/>
              </w:rPr>
              <w:t>I.S. EN 998-2:2016</w:t>
            </w:r>
          </w:p>
        </w:tc>
        <w:tc>
          <w:tcPr>
            <w:tcW w:w="3293" w:type="dxa"/>
            <w:gridSpan w:val="2"/>
          </w:tcPr>
          <w:p w:rsidR="00874F89" w:rsidRDefault="00874F89" w:rsidP="00874F89">
            <w:pPr>
              <w:pStyle w:val="Default"/>
              <w:rPr>
                <w:sz w:val="17"/>
                <w:szCs w:val="17"/>
              </w:rPr>
            </w:pPr>
            <w:r>
              <w:rPr>
                <w:sz w:val="17"/>
                <w:szCs w:val="17"/>
              </w:rPr>
              <w:t xml:space="preserve">Specification for mortar for masonry - Part 2: Masonry mortar </w:t>
            </w:r>
          </w:p>
        </w:tc>
        <w:tc>
          <w:tcPr>
            <w:tcW w:w="3160" w:type="dxa"/>
            <w:vMerge/>
          </w:tcPr>
          <w:p w:rsidR="00874F89" w:rsidRDefault="00874F89" w:rsidP="00874F89"/>
        </w:tc>
      </w:tr>
      <w:tr w:rsidR="00874F89" w:rsidTr="00480AFB">
        <w:tc>
          <w:tcPr>
            <w:tcW w:w="2563" w:type="dxa"/>
            <w:vAlign w:val="center"/>
          </w:tcPr>
          <w:p w:rsidR="00874F89" w:rsidRDefault="00874F89" w:rsidP="00874F89">
            <w:pPr>
              <w:pStyle w:val="Default"/>
              <w:rPr>
                <w:sz w:val="17"/>
                <w:szCs w:val="17"/>
              </w:rPr>
            </w:pPr>
            <w:r>
              <w:rPr>
                <w:sz w:val="17"/>
                <w:szCs w:val="17"/>
              </w:rPr>
              <w:t xml:space="preserve">I.S. EN 10025-1:2004 </w:t>
            </w:r>
          </w:p>
        </w:tc>
        <w:tc>
          <w:tcPr>
            <w:tcW w:w="3293" w:type="dxa"/>
            <w:gridSpan w:val="2"/>
          </w:tcPr>
          <w:p w:rsidR="00874F89" w:rsidRDefault="00874F89" w:rsidP="00874F89">
            <w:pPr>
              <w:pStyle w:val="Default"/>
              <w:rPr>
                <w:sz w:val="17"/>
                <w:szCs w:val="17"/>
              </w:rPr>
            </w:pPr>
            <w:r>
              <w:rPr>
                <w:sz w:val="17"/>
                <w:szCs w:val="17"/>
              </w:rPr>
              <w:t xml:space="preserve">Hot rolled products of structural steels - Part 1: General technical delivery conditions </w:t>
            </w:r>
          </w:p>
        </w:tc>
        <w:tc>
          <w:tcPr>
            <w:tcW w:w="3160" w:type="dxa"/>
          </w:tcPr>
          <w:p w:rsidR="00874F89" w:rsidRPr="00B33CAE" w:rsidRDefault="00874F89" w:rsidP="00874F89">
            <w:pPr>
              <w:pStyle w:val="Default"/>
              <w:rPr>
                <w:sz w:val="17"/>
                <w:szCs w:val="17"/>
              </w:rPr>
            </w:pPr>
            <w:r w:rsidRPr="00B33CAE">
              <w:rPr>
                <w:sz w:val="17"/>
                <w:szCs w:val="17"/>
              </w:rPr>
              <w:t>National Annex NA</w:t>
            </w:r>
            <w:r>
              <w:rPr>
                <w:sz w:val="17"/>
                <w:szCs w:val="17"/>
              </w:rPr>
              <w:t xml:space="preserve"> </w:t>
            </w:r>
            <w:r w:rsidRPr="00B33CAE">
              <w:rPr>
                <w:sz w:val="17"/>
                <w:szCs w:val="17"/>
              </w:rPr>
              <w:t>(informative)</w:t>
            </w:r>
          </w:p>
          <w:p w:rsidR="00874F89" w:rsidRDefault="00874F89" w:rsidP="00874F89">
            <w:pPr>
              <w:pStyle w:val="Default"/>
              <w:rPr>
                <w:sz w:val="17"/>
                <w:szCs w:val="17"/>
              </w:rPr>
            </w:pPr>
          </w:p>
        </w:tc>
      </w:tr>
      <w:tr w:rsidR="00874F89" w:rsidTr="00480AFB">
        <w:tc>
          <w:tcPr>
            <w:tcW w:w="2563" w:type="dxa"/>
            <w:vAlign w:val="center"/>
          </w:tcPr>
          <w:p w:rsidR="00874F89" w:rsidRDefault="00874F89" w:rsidP="00874F89">
            <w:pPr>
              <w:pStyle w:val="Default"/>
              <w:rPr>
                <w:sz w:val="17"/>
                <w:szCs w:val="17"/>
              </w:rPr>
            </w:pPr>
            <w:r>
              <w:rPr>
                <w:sz w:val="17"/>
                <w:szCs w:val="17"/>
              </w:rPr>
              <w:t xml:space="preserve">I.S. EN 12566-1:2000+ A1 2003 </w:t>
            </w:r>
          </w:p>
        </w:tc>
        <w:tc>
          <w:tcPr>
            <w:tcW w:w="3293" w:type="dxa"/>
            <w:gridSpan w:val="2"/>
          </w:tcPr>
          <w:p w:rsidR="00874F89" w:rsidRDefault="00874F89" w:rsidP="00874F89">
            <w:pPr>
              <w:pStyle w:val="Default"/>
              <w:rPr>
                <w:sz w:val="17"/>
                <w:szCs w:val="17"/>
              </w:rPr>
            </w:pPr>
            <w:r>
              <w:rPr>
                <w:sz w:val="17"/>
                <w:szCs w:val="17"/>
              </w:rPr>
              <w:t xml:space="preserve">Small wastewater treatment systems for up to 50 PT - Part 1: Prefabricated septic tanks </w:t>
            </w:r>
          </w:p>
        </w:tc>
        <w:tc>
          <w:tcPr>
            <w:tcW w:w="3160" w:type="dxa"/>
            <w:vMerge w:val="restart"/>
            <w:vAlign w:val="center"/>
          </w:tcPr>
          <w:p w:rsidR="00874F89" w:rsidRPr="005417C5" w:rsidRDefault="00874F89" w:rsidP="00874F89">
            <w:pPr>
              <w:pStyle w:val="Default"/>
              <w:rPr>
                <w:sz w:val="17"/>
                <w:szCs w:val="17"/>
              </w:rPr>
            </w:pPr>
            <w:r>
              <w:rPr>
                <w:sz w:val="17"/>
                <w:szCs w:val="17"/>
              </w:rPr>
              <w:t xml:space="preserve">S.R. 66: 2015 </w:t>
            </w:r>
            <w:r w:rsidRPr="005417C5">
              <w:rPr>
                <w:sz w:val="17"/>
                <w:szCs w:val="17"/>
              </w:rPr>
              <w:t>Standard Recommendation providing</w:t>
            </w:r>
            <w:r>
              <w:rPr>
                <w:sz w:val="17"/>
                <w:szCs w:val="17"/>
              </w:rPr>
              <w:t xml:space="preserve"> </w:t>
            </w:r>
            <w:r w:rsidRPr="005417C5">
              <w:rPr>
                <w:sz w:val="17"/>
                <w:szCs w:val="17"/>
              </w:rPr>
              <w:t>guidance to wastewater treatment</w:t>
            </w:r>
            <w:r w:rsidR="00480AFB">
              <w:rPr>
                <w:sz w:val="17"/>
                <w:szCs w:val="17"/>
              </w:rPr>
              <w:t xml:space="preserve"> </w:t>
            </w:r>
            <w:r w:rsidRPr="005417C5">
              <w:rPr>
                <w:sz w:val="17"/>
                <w:szCs w:val="17"/>
              </w:rPr>
              <w:t>products in compliance with the EN 12566</w:t>
            </w:r>
          </w:p>
          <w:p w:rsidR="00874F89" w:rsidRDefault="00874F89" w:rsidP="00874F89">
            <w:pPr>
              <w:pStyle w:val="Default"/>
              <w:rPr>
                <w:sz w:val="17"/>
                <w:szCs w:val="17"/>
              </w:rPr>
            </w:pPr>
            <w:r w:rsidRPr="005417C5">
              <w:rPr>
                <w:sz w:val="17"/>
                <w:szCs w:val="17"/>
              </w:rPr>
              <w:t>series of standards</w:t>
            </w:r>
          </w:p>
          <w:p w:rsidR="00480AFB" w:rsidRDefault="00480AFB" w:rsidP="00874F89">
            <w:pPr>
              <w:pStyle w:val="Default"/>
              <w:rPr>
                <w:sz w:val="17"/>
                <w:szCs w:val="17"/>
              </w:rPr>
            </w:pPr>
          </w:p>
        </w:tc>
      </w:tr>
      <w:tr w:rsidR="00874F89" w:rsidTr="00480AFB">
        <w:tc>
          <w:tcPr>
            <w:tcW w:w="2563" w:type="dxa"/>
            <w:vAlign w:val="center"/>
          </w:tcPr>
          <w:p w:rsidR="00874F89" w:rsidRDefault="00874F89" w:rsidP="00874F89">
            <w:pPr>
              <w:pStyle w:val="Default"/>
              <w:rPr>
                <w:sz w:val="17"/>
                <w:szCs w:val="17"/>
              </w:rPr>
            </w:pPr>
            <w:r>
              <w:rPr>
                <w:sz w:val="17"/>
                <w:szCs w:val="17"/>
              </w:rPr>
              <w:t xml:space="preserve">I.S. EN 12566-3:2005+A2 2013 </w:t>
            </w:r>
          </w:p>
        </w:tc>
        <w:tc>
          <w:tcPr>
            <w:tcW w:w="3293" w:type="dxa"/>
            <w:gridSpan w:val="2"/>
          </w:tcPr>
          <w:p w:rsidR="00874F89" w:rsidRDefault="00874F89" w:rsidP="00874F89">
            <w:pPr>
              <w:pStyle w:val="Default"/>
              <w:rPr>
                <w:sz w:val="17"/>
                <w:szCs w:val="17"/>
              </w:rPr>
            </w:pPr>
            <w:r>
              <w:rPr>
                <w:sz w:val="17"/>
                <w:szCs w:val="17"/>
              </w:rPr>
              <w:t xml:space="preserve">Small wastewater treatment systems for up to 50 PT - Part 3: Packaged and/or site assembled domestic wastewater treatment plants </w:t>
            </w:r>
          </w:p>
        </w:tc>
        <w:tc>
          <w:tcPr>
            <w:tcW w:w="3160" w:type="dxa"/>
            <w:vMerge/>
          </w:tcPr>
          <w:p w:rsidR="00874F89" w:rsidRDefault="00874F89" w:rsidP="00874F89">
            <w:pPr>
              <w:pStyle w:val="Default"/>
              <w:rPr>
                <w:sz w:val="17"/>
                <w:szCs w:val="17"/>
              </w:rPr>
            </w:pPr>
          </w:p>
        </w:tc>
      </w:tr>
      <w:tr w:rsidR="00874F89" w:rsidTr="00480AFB">
        <w:tc>
          <w:tcPr>
            <w:tcW w:w="2563" w:type="dxa"/>
            <w:vAlign w:val="center"/>
          </w:tcPr>
          <w:p w:rsidR="00874F89" w:rsidRDefault="00874F89" w:rsidP="00874F89">
            <w:pPr>
              <w:pStyle w:val="Default"/>
              <w:rPr>
                <w:sz w:val="17"/>
                <w:szCs w:val="17"/>
              </w:rPr>
            </w:pPr>
            <w:r>
              <w:rPr>
                <w:sz w:val="17"/>
                <w:szCs w:val="17"/>
              </w:rPr>
              <w:t xml:space="preserve">I.S. EN 12566-4:2007 </w:t>
            </w:r>
          </w:p>
        </w:tc>
        <w:tc>
          <w:tcPr>
            <w:tcW w:w="3293" w:type="dxa"/>
            <w:gridSpan w:val="2"/>
          </w:tcPr>
          <w:p w:rsidR="00480AFB" w:rsidRDefault="00874F89" w:rsidP="008B0D07">
            <w:pPr>
              <w:pStyle w:val="Default"/>
              <w:rPr>
                <w:sz w:val="17"/>
                <w:szCs w:val="17"/>
              </w:rPr>
            </w:pPr>
            <w:r>
              <w:rPr>
                <w:sz w:val="17"/>
                <w:szCs w:val="17"/>
              </w:rPr>
              <w:t xml:space="preserve">Small wastewater treatment systems for up to 50 PT - Part 4: Septic tanks assembled in situ from prefabricated kits </w:t>
            </w:r>
          </w:p>
        </w:tc>
        <w:tc>
          <w:tcPr>
            <w:tcW w:w="3160" w:type="dxa"/>
            <w:vMerge/>
          </w:tcPr>
          <w:p w:rsidR="00874F89" w:rsidRDefault="00874F89" w:rsidP="00874F89">
            <w:pPr>
              <w:pStyle w:val="Default"/>
              <w:rPr>
                <w:sz w:val="17"/>
                <w:szCs w:val="17"/>
              </w:rPr>
            </w:pPr>
          </w:p>
        </w:tc>
      </w:tr>
      <w:tr w:rsidR="00874F89" w:rsidTr="00480AFB">
        <w:tc>
          <w:tcPr>
            <w:tcW w:w="2830" w:type="dxa"/>
            <w:gridSpan w:val="2"/>
            <w:vAlign w:val="center"/>
          </w:tcPr>
          <w:p w:rsidR="00874F89" w:rsidRDefault="00874F89" w:rsidP="00874F89">
            <w:pPr>
              <w:pStyle w:val="Default"/>
              <w:rPr>
                <w:sz w:val="17"/>
                <w:szCs w:val="17"/>
              </w:rPr>
            </w:pPr>
            <w:r>
              <w:rPr>
                <w:sz w:val="17"/>
                <w:szCs w:val="17"/>
              </w:rPr>
              <w:lastRenderedPageBreak/>
              <w:t>I</w:t>
            </w:r>
            <w:r w:rsidRPr="009C73ED">
              <w:rPr>
                <w:sz w:val="17"/>
                <w:szCs w:val="17"/>
              </w:rPr>
              <w:t>.S.EN 12620:2002/A1:2008</w:t>
            </w:r>
            <w:r>
              <w:rPr>
                <w:sz w:val="17"/>
                <w:szCs w:val="17"/>
              </w:rPr>
              <w:t xml:space="preserve"> </w:t>
            </w:r>
          </w:p>
        </w:tc>
        <w:tc>
          <w:tcPr>
            <w:tcW w:w="3026" w:type="dxa"/>
            <w:vAlign w:val="center"/>
          </w:tcPr>
          <w:p w:rsidR="00874F89" w:rsidRDefault="00874F89" w:rsidP="00874F89">
            <w:pPr>
              <w:pStyle w:val="Default"/>
              <w:rPr>
                <w:sz w:val="17"/>
                <w:szCs w:val="17"/>
              </w:rPr>
            </w:pPr>
            <w:r>
              <w:rPr>
                <w:sz w:val="17"/>
                <w:szCs w:val="17"/>
              </w:rPr>
              <w:t xml:space="preserve">Aggregates for concrete </w:t>
            </w:r>
          </w:p>
        </w:tc>
        <w:tc>
          <w:tcPr>
            <w:tcW w:w="3160" w:type="dxa"/>
          </w:tcPr>
          <w:p w:rsidR="008B0D07" w:rsidRDefault="008B0D07" w:rsidP="00874F89">
            <w:pPr>
              <w:pStyle w:val="Default"/>
              <w:rPr>
                <w:sz w:val="17"/>
                <w:szCs w:val="17"/>
              </w:rPr>
            </w:pPr>
          </w:p>
          <w:p w:rsidR="00874F89" w:rsidRDefault="00874F89" w:rsidP="00874F89">
            <w:pPr>
              <w:pStyle w:val="Default"/>
              <w:rPr>
                <w:sz w:val="17"/>
                <w:szCs w:val="17"/>
              </w:rPr>
            </w:pPr>
            <w:r>
              <w:rPr>
                <w:sz w:val="17"/>
                <w:szCs w:val="17"/>
              </w:rPr>
              <w:t>S.R. 16: 2016 Guidance on the use of I.S. EN 12620:2002+A</w:t>
            </w:r>
            <w:r w:rsidRPr="009C73ED">
              <w:rPr>
                <w:sz w:val="17"/>
                <w:szCs w:val="17"/>
              </w:rPr>
              <w:t>1:2008 - Aggregates for Concrete</w:t>
            </w:r>
          </w:p>
          <w:p w:rsidR="00874F89" w:rsidRPr="001C5C41" w:rsidRDefault="00874F89" w:rsidP="00874F89">
            <w:pPr>
              <w:pStyle w:val="Default"/>
              <w:rPr>
                <w:sz w:val="17"/>
                <w:szCs w:val="17"/>
              </w:rPr>
            </w:pPr>
          </w:p>
        </w:tc>
      </w:tr>
      <w:tr w:rsidR="00874F89" w:rsidTr="00480AFB">
        <w:tc>
          <w:tcPr>
            <w:tcW w:w="2830" w:type="dxa"/>
            <w:gridSpan w:val="2"/>
            <w:vAlign w:val="center"/>
          </w:tcPr>
          <w:p w:rsidR="00874F89" w:rsidRDefault="00874F89" w:rsidP="00874F89">
            <w:pPr>
              <w:pStyle w:val="Default"/>
              <w:rPr>
                <w:sz w:val="17"/>
                <w:szCs w:val="17"/>
              </w:rPr>
            </w:pPr>
          </w:p>
          <w:p w:rsidR="00874F89" w:rsidRDefault="00874F89" w:rsidP="00874F89">
            <w:pPr>
              <w:pStyle w:val="Default"/>
              <w:rPr>
                <w:sz w:val="17"/>
                <w:szCs w:val="17"/>
              </w:rPr>
            </w:pPr>
            <w:r>
              <w:rPr>
                <w:sz w:val="17"/>
                <w:szCs w:val="17"/>
              </w:rPr>
              <w:t xml:space="preserve">I.S. EN 12737:2004/A1 2007 </w:t>
            </w:r>
          </w:p>
        </w:tc>
        <w:tc>
          <w:tcPr>
            <w:tcW w:w="3026" w:type="dxa"/>
          </w:tcPr>
          <w:p w:rsidR="00874F89" w:rsidRDefault="00874F89" w:rsidP="00874F89">
            <w:pPr>
              <w:pStyle w:val="Default"/>
              <w:rPr>
                <w:sz w:val="17"/>
                <w:szCs w:val="17"/>
              </w:rPr>
            </w:pPr>
          </w:p>
          <w:p w:rsidR="00874F89" w:rsidRDefault="00874F89" w:rsidP="00874F89">
            <w:pPr>
              <w:pStyle w:val="Default"/>
              <w:rPr>
                <w:sz w:val="17"/>
                <w:szCs w:val="17"/>
              </w:rPr>
            </w:pPr>
            <w:r>
              <w:rPr>
                <w:sz w:val="17"/>
                <w:szCs w:val="17"/>
              </w:rPr>
              <w:t xml:space="preserve">Precast concrete products - Floor slats for livestock </w:t>
            </w:r>
          </w:p>
        </w:tc>
        <w:tc>
          <w:tcPr>
            <w:tcW w:w="3160" w:type="dxa"/>
          </w:tcPr>
          <w:p w:rsidR="00874F89" w:rsidRDefault="00874F89" w:rsidP="00874F89">
            <w:pPr>
              <w:pStyle w:val="Default"/>
              <w:rPr>
                <w:sz w:val="17"/>
                <w:szCs w:val="17"/>
              </w:rPr>
            </w:pPr>
          </w:p>
          <w:p w:rsidR="00874F89" w:rsidRDefault="00874F89" w:rsidP="00874F89">
            <w:pPr>
              <w:pStyle w:val="Default"/>
              <w:rPr>
                <w:sz w:val="17"/>
                <w:szCs w:val="17"/>
              </w:rPr>
            </w:pPr>
            <w:r>
              <w:rPr>
                <w:sz w:val="17"/>
                <w:szCs w:val="17"/>
              </w:rPr>
              <w:t>National Foreword and National Annex</w:t>
            </w:r>
          </w:p>
          <w:p w:rsidR="00874F89" w:rsidRDefault="00874F89" w:rsidP="00874F89">
            <w:pPr>
              <w:pStyle w:val="Default"/>
              <w:rPr>
                <w:sz w:val="17"/>
                <w:szCs w:val="17"/>
              </w:rPr>
            </w:pPr>
          </w:p>
        </w:tc>
      </w:tr>
      <w:tr w:rsidR="00874F89" w:rsidTr="00480AFB">
        <w:tc>
          <w:tcPr>
            <w:tcW w:w="2830" w:type="dxa"/>
            <w:gridSpan w:val="2"/>
            <w:vAlign w:val="center"/>
          </w:tcPr>
          <w:p w:rsidR="00874F89" w:rsidRDefault="00874F89" w:rsidP="00874F89">
            <w:pPr>
              <w:pStyle w:val="Default"/>
              <w:rPr>
                <w:sz w:val="17"/>
                <w:szCs w:val="17"/>
              </w:rPr>
            </w:pPr>
            <w:r>
              <w:rPr>
                <w:sz w:val="17"/>
                <w:szCs w:val="17"/>
              </w:rPr>
              <w:t xml:space="preserve">I.S. EN 13043:2002/AC:2004 </w:t>
            </w:r>
          </w:p>
        </w:tc>
        <w:tc>
          <w:tcPr>
            <w:tcW w:w="3026" w:type="dxa"/>
          </w:tcPr>
          <w:p w:rsidR="00874F89" w:rsidRDefault="00874F89" w:rsidP="00874F89">
            <w:pPr>
              <w:pStyle w:val="Default"/>
              <w:rPr>
                <w:sz w:val="17"/>
                <w:szCs w:val="17"/>
              </w:rPr>
            </w:pPr>
          </w:p>
          <w:p w:rsidR="00874F89" w:rsidRDefault="00874F89" w:rsidP="00874F89">
            <w:pPr>
              <w:pStyle w:val="Default"/>
              <w:rPr>
                <w:sz w:val="17"/>
                <w:szCs w:val="17"/>
              </w:rPr>
            </w:pPr>
          </w:p>
          <w:p w:rsidR="00874F89" w:rsidRDefault="00874F89" w:rsidP="00874F89">
            <w:pPr>
              <w:pStyle w:val="Default"/>
              <w:rPr>
                <w:sz w:val="17"/>
                <w:szCs w:val="17"/>
              </w:rPr>
            </w:pPr>
            <w:r>
              <w:rPr>
                <w:sz w:val="17"/>
                <w:szCs w:val="17"/>
              </w:rPr>
              <w:t xml:space="preserve">Aggregates for bituminous mixtures and surface treatments for roads, airfields and other trafficked areas </w:t>
            </w:r>
          </w:p>
        </w:tc>
        <w:tc>
          <w:tcPr>
            <w:tcW w:w="3160" w:type="dxa"/>
          </w:tcPr>
          <w:p w:rsidR="00874F89" w:rsidRDefault="00874F89" w:rsidP="00874F89">
            <w:pPr>
              <w:pStyle w:val="Default"/>
              <w:rPr>
                <w:sz w:val="17"/>
                <w:szCs w:val="17"/>
              </w:rPr>
            </w:pPr>
            <w:r>
              <w:rPr>
                <w:sz w:val="17"/>
                <w:szCs w:val="17"/>
              </w:rPr>
              <w:t>S.R. 17: 2004 Guidance on t</w:t>
            </w:r>
            <w:r w:rsidRPr="009C73ED">
              <w:rPr>
                <w:sz w:val="17"/>
                <w:szCs w:val="17"/>
              </w:rPr>
              <w:t xml:space="preserve">he </w:t>
            </w:r>
            <w:r>
              <w:rPr>
                <w:sz w:val="17"/>
                <w:szCs w:val="17"/>
              </w:rPr>
              <w:t>use o</w:t>
            </w:r>
            <w:r w:rsidRPr="009C73ED">
              <w:rPr>
                <w:sz w:val="17"/>
                <w:szCs w:val="17"/>
              </w:rPr>
              <w:t xml:space="preserve">f </w:t>
            </w:r>
            <w:r>
              <w:rPr>
                <w:sz w:val="17"/>
                <w:szCs w:val="17"/>
              </w:rPr>
              <w:t>I.S. EN</w:t>
            </w:r>
            <w:r w:rsidRPr="009C73ED">
              <w:rPr>
                <w:sz w:val="17"/>
                <w:szCs w:val="17"/>
              </w:rPr>
              <w:t xml:space="preserve"> 13043:2002 - Aggregates For Bituminous Mixtures And Surface Treatments For Roads, Airfields And Other Trafficked Areas</w:t>
            </w:r>
          </w:p>
          <w:p w:rsidR="00874F89" w:rsidRDefault="00874F89" w:rsidP="00874F89">
            <w:pPr>
              <w:pStyle w:val="Default"/>
              <w:rPr>
                <w:sz w:val="17"/>
                <w:szCs w:val="17"/>
              </w:rPr>
            </w:pPr>
            <w:r w:rsidRPr="001C5C41">
              <w:rPr>
                <w:i/>
                <w:sz w:val="17"/>
                <w:szCs w:val="17"/>
              </w:rPr>
              <w:t>Note: Revision in hand</w:t>
            </w:r>
          </w:p>
        </w:tc>
      </w:tr>
      <w:tr w:rsidR="00874F89" w:rsidTr="00480AFB">
        <w:tc>
          <w:tcPr>
            <w:tcW w:w="2830" w:type="dxa"/>
            <w:gridSpan w:val="2"/>
          </w:tcPr>
          <w:p w:rsidR="00874F89" w:rsidRDefault="00874F89" w:rsidP="00874F89">
            <w:pPr>
              <w:pStyle w:val="Default"/>
              <w:rPr>
                <w:sz w:val="17"/>
                <w:szCs w:val="17"/>
              </w:rPr>
            </w:pPr>
          </w:p>
          <w:p w:rsidR="00F47D41" w:rsidRDefault="00F47D41" w:rsidP="00874F89">
            <w:pPr>
              <w:pStyle w:val="Default"/>
              <w:rPr>
                <w:sz w:val="17"/>
                <w:szCs w:val="17"/>
              </w:rPr>
            </w:pPr>
            <w:r>
              <w:rPr>
                <w:sz w:val="17"/>
                <w:szCs w:val="17"/>
              </w:rPr>
              <w:t xml:space="preserve">I.S. EN 13108 </w:t>
            </w:r>
          </w:p>
          <w:p w:rsidR="00874F89" w:rsidRDefault="00F47D41" w:rsidP="00F47D41">
            <w:pPr>
              <w:pStyle w:val="Default"/>
              <w:rPr>
                <w:sz w:val="17"/>
                <w:szCs w:val="17"/>
              </w:rPr>
            </w:pPr>
            <w:r>
              <w:rPr>
                <w:sz w:val="17"/>
                <w:szCs w:val="17"/>
              </w:rPr>
              <w:t>Parts 1-</w:t>
            </w:r>
            <w:r w:rsidR="00874F89">
              <w:rPr>
                <w:sz w:val="17"/>
                <w:szCs w:val="17"/>
              </w:rPr>
              <w:t>7:2006</w:t>
            </w:r>
            <w:r>
              <w:rPr>
                <w:sz w:val="17"/>
                <w:szCs w:val="17"/>
              </w:rPr>
              <w:t xml:space="preserve"> </w:t>
            </w:r>
            <w:r w:rsidR="00874F89">
              <w:rPr>
                <w:sz w:val="17"/>
                <w:szCs w:val="17"/>
              </w:rPr>
              <w:t xml:space="preserve">/AC 2008 </w:t>
            </w:r>
          </w:p>
        </w:tc>
        <w:tc>
          <w:tcPr>
            <w:tcW w:w="3026" w:type="dxa"/>
            <w:vAlign w:val="center"/>
          </w:tcPr>
          <w:p w:rsidR="00874F89" w:rsidRDefault="00874F89" w:rsidP="00874F89">
            <w:pPr>
              <w:pStyle w:val="Default"/>
              <w:rPr>
                <w:sz w:val="17"/>
                <w:szCs w:val="17"/>
              </w:rPr>
            </w:pPr>
            <w:r>
              <w:rPr>
                <w:sz w:val="17"/>
                <w:szCs w:val="17"/>
              </w:rPr>
              <w:t xml:space="preserve">Bituminous mixtures - Material specifications </w:t>
            </w:r>
          </w:p>
        </w:tc>
        <w:tc>
          <w:tcPr>
            <w:tcW w:w="3160" w:type="dxa"/>
          </w:tcPr>
          <w:p w:rsidR="00874F89" w:rsidRDefault="00874F89" w:rsidP="00874F89">
            <w:pPr>
              <w:pStyle w:val="Default"/>
              <w:rPr>
                <w:sz w:val="17"/>
                <w:szCs w:val="17"/>
              </w:rPr>
            </w:pPr>
          </w:p>
          <w:p w:rsidR="00874F89" w:rsidRDefault="00874F89" w:rsidP="00874F89">
            <w:pPr>
              <w:pStyle w:val="Default"/>
              <w:rPr>
                <w:sz w:val="17"/>
                <w:szCs w:val="17"/>
              </w:rPr>
            </w:pPr>
            <w:r>
              <w:rPr>
                <w:sz w:val="17"/>
                <w:szCs w:val="17"/>
              </w:rPr>
              <w:t xml:space="preserve">S.R. 28: 2009 </w:t>
            </w:r>
            <w:r w:rsidRPr="009C73ED">
              <w:rPr>
                <w:sz w:val="17"/>
                <w:szCs w:val="17"/>
              </w:rPr>
              <w:t xml:space="preserve">Recommendation for the use and Implementation of the </w:t>
            </w:r>
            <w:r>
              <w:rPr>
                <w:sz w:val="17"/>
                <w:szCs w:val="17"/>
              </w:rPr>
              <w:t>I.S. EN</w:t>
            </w:r>
            <w:r w:rsidRPr="009C73ED">
              <w:rPr>
                <w:sz w:val="17"/>
                <w:szCs w:val="17"/>
              </w:rPr>
              <w:t xml:space="preserve"> 13108 Series Bituminous Mixtures - Material Specifications</w:t>
            </w:r>
          </w:p>
          <w:p w:rsidR="00874F89" w:rsidRDefault="00874F89" w:rsidP="00874F89">
            <w:pPr>
              <w:pStyle w:val="Default"/>
              <w:rPr>
                <w:sz w:val="17"/>
                <w:szCs w:val="17"/>
              </w:rPr>
            </w:pPr>
            <w:r w:rsidRPr="001C5C41">
              <w:rPr>
                <w:i/>
                <w:sz w:val="17"/>
                <w:szCs w:val="17"/>
              </w:rPr>
              <w:t>Note: Revision in hand</w:t>
            </w:r>
          </w:p>
        </w:tc>
      </w:tr>
      <w:tr w:rsidR="00874F89" w:rsidTr="00480AFB">
        <w:tc>
          <w:tcPr>
            <w:tcW w:w="2830" w:type="dxa"/>
            <w:gridSpan w:val="2"/>
          </w:tcPr>
          <w:p w:rsidR="00874F89" w:rsidRDefault="00874F89" w:rsidP="00874F89">
            <w:pPr>
              <w:pStyle w:val="Default"/>
              <w:jc w:val="both"/>
              <w:rPr>
                <w:sz w:val="17"/>
                <w:szCs w:val="17"/>
              </w:rPr>
            </w:pPr>
          </w:p>
          <w:p w:rsidR="00874F89" w:rsidRDefault="00874F89" w:rsidP="00874F89">
            <w:pPr>
              <w:pStyle w:val="Default"/>
              <w:jc w:val="both"/>
              <w:rPr>
                <w:sz w:val="17"/>
                <w:szCs w:val="17"/>
              </w:rPr>
            </w:pPr>
            <w:r>
              <w:rPr>
                <w:sz w:val="17"/>
                <w:szCs w:val="17"/>
              </w:rPr>
              <w:t xml:space="preserve">I.S. EN 13139:2002 + NA 2010 </w:t>
            </w:r>
          </w:p>
        </w:tc>
        <w:tc>
          <w:tcPr>
            <w:tcW w:w="3026" w:type="dxa"/>
            <w:vAlign w:val="center"/>
          </w:tcPr>
          <w:p w:rsidR="00874F89" w:rsidRDefault="00874F89" w:rsidP="00874F89">
            <w:pPr>
              <w:pStyle w:val="Default"/>
              <w:jc w:val="both"/>
              <w:rPr>
                <w:sz w:val="17"/>
                <w:szCs w:val="17"/>
              </w:rPr>
            </w:pPr>
            <w:r>
              <w:rPr>
                <w:sz w:val="17"/>
                <w:szCs w:val="17"/>
              </w:rPr>
              <w:t xml:space="preserve">Aggregates for mortar </w:t>
            </w:r>
          </w:p>
        </w:tc>
        <w:tc>
          <w:tcPr>
            <w:tcW w:w="3160" w:type="dxa"/>
          </w:tcPr>
          <w:p w:rsidR="00874F89" w:rsidRDefault="00874F89" w:rsidP="00874F89">
            <w:pPr>
              <w:pStyle w:val="Default"/>
              <w:rPr>
                <w:sz w:val="17"/>
                <w:szCs w:val="17"/>
              </w:rPr>
            </w:pPr>
          </w:p>
          <w:p w:rsidR="00874F89" w:rsidRDefault="00874F89" w:rsidP="00874F89">
            <w:pPr>
              <w:pStyle w:val="Default"/>
              <w:rPr>
                <w:sz w:val="17"/>
                <w:szCs w:val="17"/>
              </w:rPr>
            </w:pPr>
            <w:r>
              <w:rPr>
                <w:sz w:val="17"/>
                <w:szCs w:val="17"/>
              </w:rPr>
              <w:t xml:space="preserve">S.R. 18: 2006 </w:t>
            </w:r>
            <w:r w:rsidRPr="009C73ED">
              <w:rPr>
                <w:sz w:val="17"/>
                <w:szCs w:val="17"/>
              </w:rPr>
              <w:t xml:space="preserve">Guidance on the use of </w:t>
            </w:r>
            <w:r>
              <w:rPr>
                <w:sz w:val="17"/>
                <w:szCs w:val="17"/>
              </w:rPr>
              <w:t>I.S. EN</w:t>
            </w:r>
            <w:r w:rsidRPr="009C73ED">
              <w:rPr>
                <w:sz w:val="17"/>
                <w:szCs w:val="17"/>
              </w:rPr>
              <w:t xml:space="preserve"> 13139:2002 - Aggregates for Mortar</w:t>
            </w:r>
          </w:p>
          <w:p w:rsidR="00874F89" w:rsidRDefault="00874F89" w:rsidP="00874F89">
            <w:pPr>
              <w:pStyle w:val="Default"/>
              <w:rPr>
                <w:sz w:val="17"/>
                <w:szCs w:val="17"/>
              </w:rPr>
            </w:pPr>
            <w:r w:rsidRPr="001C5C41">
              <w:rPr>
                <w:i/>
                <w:sz w:val="17"/>
                <w:szCs w:val="17"/>
              </w:rPr>
              <w:t>Note: Revision in hand</w:t>
            </w:r>
          </w:p>
        </w:tc>
      </w:tr>
      <w:tr w:rsidR="00874F89" w:rsidTr="00480AFB">
        <w:tc>
          <w:tcPr>
            <w:tcW w:w="2830" w:type="dxa"/>
            <w:gridSpan w:val="2"/>
            <w:vAlign w:val="center"/>
          </w:tcPr>
          <w:p w:rsidR="00874F89" w:rsidRDefault="00874F89" w:rsidP="00874F89">
            <w:pPr>
              <w:pStyle w:val="Default"/>
              <w:jc w:val="both"/>
              <w:rPr>
                <w:sz w:val="17"/>
                <w:szCs w:val="17"/>
              </w:rPr>
            </w:pPr>
            <w:r>
              <w:rPr>
                <w:sz w:val="17"/>
                <w:szCs w:val="17"/>
              </w:rPr>
              <w:t xml:space="preserve">I.S. EN 13242:2002+ A1:2007 </w:t>
            </w:r>
          </w:p>
        </w:tc>
        <w:tc>
          <w:tcPr>
            <w:tcW w:w="3026" w:type="dxa"/>
          </w:tcPr>
          <w:p w:rsidR="00874F89" w:rsidRDefault="00874F89" w:rsidP="00874F89">
            <w:pPr>
              <w:pStyle w:val="Default"/>
              <w:jc w:val="both"/>
              <w:rPr>
                <w:sz w:val="17"/>
                <w:szCs w:val="17"/>
              </w:rPr>
            </w:pPr>
          </w:p>
          <w:p w:rsidR="00874F89" w:rsidRDefault="00874F89" w:rsidP="00874F89">
            <w:pPr>
              <w:pStyle w:val="Default"/>
              <w:jc w:val="both"/>
              <w:rPr>
                <w:sz w:val="17"/>
                <w:szCs w:val="17"/>
              </w:rPr>
            </w:pPr>
            <w:r>
              <w:rPr>
                <w:sz w:val="17"/>
                <w:szCs w:val="17"/>
              </w:rPr>
              <w:t xml:space="preserve">Aggregates for unbound and hydraulically bound materials for use in civil engineering work and road construction </w:t>
            </w:r>
          </w:p>
        </w:tc>
        <w:tc>
          <w:tcPr>
            <w:tcW w:w="3160" w:type="dxa"/>
          </w:tcPr>
          <w:p w:rsidR="00874F89" w:rsidRDefault="00874F89" w:rsidP="00874F89">
            <w:pPr>
              <w:pStyle w:val="Default"/>
              <w:rPr>
                <w:sz w:val="17"/>
                <w:szCs w:val="17"/>
              </w:rPr>
            </w:pPr>
          </w:p>
          <w:p w:rsidR="00874F89" w:rsidRDefault="00874F89" w:rsidP="00F47D41">
            <w:pPr>
              <w:pStyle w:val="Default"/>
              <w:rPr>
                <w:sz w:val="17"/>
                <w:szCs w:val="17"/>
              </w:rPr>
            </w:pPr>
            <w:r>
              <w:rPr>
                <w:sz w:val="17"/>
                <w:szCs w:val="17"/>
              </w:rPr>
              <w:t>S.R. 21: 2014</w:t>
            </w:r>
            <w:r w:rsidRPr="00DB1566">
              <w:rPr>
                <w:sz w:val="17"/>
                <w:szCs w:val="17"/>
              </w:rPr>
              <w:t xml:space="preserve"> Guidance on the use of </w:t>
            </w:r>
            <w:r>
              <w:rPr>
                <w:sz w:val="17"/>
                <w:szCs w:val="17"/>
              </w:rPr>
              <w:t>I.S. EN</w:t>
            </w:r>
            <w:r w:rsidRPr="00DB1566">
              <w:rPr>
                <w:sz w:val="17"/>
                <w:szCs w:val="17"/>
              </w:rPr>
              <w:t xml:space="preserve"> 13242:2002 +</w:t>
            </w:r>
            <w:r w:rsidR="00F47D41">
              <w:rPr>
                <w:sz w:val="17"/>
                <w:szCs w:val="17"/>
              </w:rPr>
              <w:t>A</w:t>
            </w:r>
            <w:r w:rsidRPr="00DB1566">
              <w:rPr>
                <w:sz w:val="17"/>
                <w:szCs w:val="17"/>
              </w:rPr>
              <w:t>1:2007 Aggregates for Unbound and Hydraulically Bound Materials for use in Civil Engineering Work and Road Construction</w:t>
            </w:r>
          </w:p>
        </w:tc>
      </w:tr>
    </w:tbl>
    <w:p w:rsidR="008B0D07" w:rsidRDefault="008B0D07"/>
    <w:tbl>
      <w:tblPr>
        <w:tblStyle w:val="TableGrid"/>
        <w:tblW w:w="0" w:type="auto"/>
        <w:tblLook w:val="04A0" w:firstRow="1" w:lastRow="0" w:firstColumn="1" w:lastColumn="0" w:noHBand="0" w:noVBand="1"/>
      </w:tblPr>
      <w:tblGrid>
        <w:gridCol w:w="2830"/>
        <w:gridCol w:w="2977"/>
        <w:gridCol w:w="3209"/>
      </w:tblGrid>
      <w:tr w:rsidR="008B0D07" w:rsidTr="008B0D07">
        <w:tc>
          <w:tcPr>
            <w:tcW w:w="9016" w:type="dxa"/>
            <w:gridSpan w:val="3"/>
            <w:vAlign w:val="center"/>
          </w:tcPr>
          <w:p w:rsidR="008B0D07" w:rsidRDefault="008B0D07" w:rsidP="002C7765">
            <w:pPr>
              <w:pStyle w:val="Default"/>
              <w:shd w:val="clear" w:color="auto" w:fill="D9D9D9" w:themeFill="background1" w:themeFillShade="D9"/>
              <w:rPr>
                <w:sz w:val="17"/>
                <w:szCs w:val="17"/>
              </w:rPr>
            </w:pPr>
          </w:p>
          <w:p w:rsidR="008B0D07" w:rsidRDefault="008B0D07" w:rsidP="008B0D07">
            <w:pPr>
              <w:pStyle w:val="Default"/>
              <w:shd w:val="clear" w:color="auto" w:fill="D9D9D9" w:themeFill="background1" w:themeFillShade="D9"/>
              <w:rPr>
                <w:sz w:val="21"/>
                <w:szCs w:val="21"/>
              </w:rPr>
            </w:pPr>
            <w:r>
              <w:rPr>
                <w:sz w:val="21"/>
                <w:szCs w:val="21"/>
              </w:rPr>
              <w:t xml:space="preserve">Additional Guidance to Non Harmonised I.S. EN's </w:t>
            </w:r>
          </w:p>
          <w:p w:rsidR="008B0D07" w:rsidRPr="00B33CAE" w:rsidRDefault="008B0D07" w:rsidP="008B0D07">
            <w:pPr>
              <w:pStyle w:val="Default"/>
              <w:shd w:val="clear" w:color="auto" w:fill="D9D9D9" w:themeFill="background1" w:themeFillShade="D9"/>
              <w:rPr>
                <w:sz w:val="17"/>
                <w:szCs w:val="17"/>
              </w:rPr>
            </w:pPr>
          </w:p>
        </w:tc>
      </w:tr>
      <w:tr w:rsidR="008B0D07" w:rsidTr="008B0D07">
        <w:tc>
          <w:tcPr>
            <w:tcW w:w="2830" w:type="dxa"/>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 xml:space="preserve">I.S. EN 10080:2005+ NA: 2010 </w:t>
            </w:r>
          </w:p>
        </w:tc>
        <w:tc>
          <w:tcPr>
            <w:tcW w:w="2977" w:type="dxa"/>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 xml:space="preserve">Steel for the reinforcement of concrete - </w:t>
            </w:r>
            <w:proofErr w:type="spellStart"/>
            <w:r>
              <w:rPr>
                <w:sz w:val="17"/>
                <w:szCs w:val="17"/>
              </w:rPr>
              <w:t>Weldable</w:t>
            </w:r>
            <w:proofErr w:type="spellEnd"/>
            <w:r>
              <w:rPr>
                <w:sz w:val="17"/>
                <w:szCs w:val="17"/>
              </w:rPr>
              <w:t xml:space="preserve"> reinforcing steel -General </w:t>
            </w:r>
          </w:p>
        </w:tc>
        <w:tc>
          <w:tcPr>
            <w:tcW w:w="3209" w:type="dxa"/>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National foreword with additional advice</w:t>
            </w:r>
            <w:r>
              <w:rPr>
                <w:sz w:val="11"/>
                <w:szCs w:val="11"/>
              </w:rPr>
              <w:t>(3)</w:t>
            </w:r>
          </w:p>
        </w:tc>
      </w:tr>
      <w:tr w:rsidR="008B0D07" w:rsidTr="008B0D07">
        <w:tc>
          <w:tcPr>
            <w:tcW w:w="2830" w:type="dxa"/>
            <w:vAlign w:val="center"/>
          </w:tcPr>
          <w:p w:rsidR="008B0D07" w:rsidRDefault="008B0D07" w:rsidP="002C7765">
            <w:pPr>
              <w:pStyle w:val="Default"/>
              <w:rPr>
                <w:sz w:val="17"/>
                <w:szCs w:val="17"/>
              </w:rPr>
            </w:pPr>
            <w:r>
              <w:rPr>
                <w:sz w:val="17"/>
                <w:szCs w:val="17"/>
              </w:rPr>
              <w:t>I.S. EN 1717: 2000 + NA 2011</w:t>
            </w:r>
          </w:p>
        </w:tc>
        <w:tc>
          <w:tcPr>
            <w:tcW w:w="2977" w:type="dxa"/>
          </w:tcPr>
          <w:p w:rsidR="008B0D07" w:rsidRDefault="008B0D07" w:rsidP="00F47D41">
            <w:pPr>
              <w:autoSpaceDE w:val="0"/>
              <w:autoSpaceDN w:val="0"/>
              <w:adjustRightInd w:val="0"/>
              <w:spacing w:after="0" w:line="240" w:lineRule="auto"/>
              <w:rPr>
                <w:sz w:val="17"/>
                <w:szCs w:val="17"/>
              </w:rPr>
            </w:pPr>
            <w:r w:rsidRPr="00D77EF5">
              <w:rPr>
                <w:rFonts w:ascii="Verdana" w:hAnsi="Verdana" w:cs="Verdana"/>
                <w:color w:val="000000"/>
                <w:sz w:val="17"/>
                <w:szCs w:val="17"/>
              </w:rPr>
              <w:t>Protection against pollution of potable</w:t>
            </w:r>
            <w:r>
              <w:rPr>
                <w:rFonts w:ascii="Verdana" w:hAnsi="Verdana" w:cs="Verdana"/>
                <w:color w:val="000000"/>
                <w:sz w:val="17"/>
                <w:szCs w:val="17"/>
              </w:rPr>
              <w:t xml:space="preserve"> water in water i</w:t>
            </w:r>
            <w:r w:rsidRPr="00D77EF5">
              <w:rPr>
                <w:rFonts w:ascii="Verdana" w:hAnsi="Verdana" w:cs="Verdana"/>
                <w:color w:val="000000"/>
                <w:sz w:val="17"/>
                <w:szCs w:val="17"/>
              </w:rPr>
              <w:t>nstallations and general</w:t>
            </w:r>
            <w:r>
              <w:rPr>
                <w:rFonts w:ascii="Verdana" w:hAnsi="Verdana" w:cs="Verdana"/>
                <w:color w:val="000000"/>
                <w:sz w:val="17"/>
                <w:szCs w:val="17"/>
              </w:rPr>
              <w:t xml:space="preserve"> </w:t>
            </w:r>
            <w:r w:rsidRPr="00D77EF5">
              <w:rPr>
                <w:rFonts w:ascii="Verdana" w:hAnsi="Verdana" w:cs="Verdana"/>
                <w:color w:val="000000"/>
                <w:sz w:val="17"/>
                <w:szCs w:val="17"/>
              </w:rPr>
              <w:t>requirements of devices to prevent</w:t>
            </w:r>
            <w:r w:rsidR="00F47D41">
              <w:rPr>
                <w:rFonts w:ascii="Verdana" w:hAnsi="Verdana" w:cs="Verdana"/>
                <w:color w:val="000000"/>
                <w:sz w:val="17"/>
                <w:szCs w:val="17"/>
              </w:rPr>
              <w:t xml:space="preserve"> </w:t>
            </w:r>
            <w:r w:rsidRPr="00D77EF5">
              <w:rPr>
                <w:sz w:val="17"/>
                <w:szCs w:val="17"/>
              </w:rPr>
              <w:t>pollution by backflow</w:t>
            </w:r>
          </w:p>
        </w:tc>
        <w:tc>
          <w:tcPr>
            <w:tcW w:w="3209" w:type="dxa"/>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National annex available</w:t>
            </w:r>
          </w:p>
        </w:tc>
      </w:tr>
      <w:tr w:rsidR="008B0D07" w:rsidTr="008B0D07">
        <w:tc>
          <w:tcPr>
            <w:tcW w:w="2830" w:type="dxa"/>
            <w:vAlign w:val="center"/>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I.S. EN 206:2013 + NA: 2015</w:t>
            </w:r>
          </w:p>
        </w:tc>
        <w:tc>
          <w:tcPr>
            <w:tcW w:w="2977" w:type="dxa"/>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 xml:space="preserve">Concrete - Part 1: Specification, performance, production and conformity </w:t>
            </w:r>
          </w:p>
        </w:tc>
        <w:tc>
          <w:tcPr>
            <w:tcW w:w="3209" w:type="dxa"/>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 xml:space="preserve">National Annex available </w:t>
            </w:r>
          </w:p>
        </w:tc>
      </w:tr>
      <w:tr w:rsidR="008B0D07" w:rsidTr="008B0D07">
        <w:tc>
          <w:tcPr>
            <w:tcW w:w="2830" w:type="dxa"/>
            <w:vAlign w:val="center"/>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 xml:space="preserve">I.S. EN 13670: 2009 + NA 2015 </w:t>
            </w:r>
          </w:p>
        </w:tc>
        <w:tc>
          <w:tcPr>
            <w:tcW w:w="2977" w:type="dxa"/>
            <w:vAlign w:val="center"/>
          </w:tcPr>
          <w:p w:rsidR="008B0D07" w:rsidRDefault="008B0D07" w:rsidP="002C7765">
            <w:pPr>
              <w:pStyle w:val="Default"/>
              <w:rPr>
                <w:sz w:val="17"/>
                <w:szCs w:val="17"/>
              </w:rPr>
            </w:pPr>
            <w:r>
              <w:rPr>
                <w:sz w:val="17"/>
                <w:szCs w:val="17"/>
              </w:rPr>
              <w:t xml:space="preserve">Execution of concrete structures </w:t>
            </w:r>
          </w:p>
        </w:tc>
        <w:tc>
          <w:tcPr>
            <w:tcW w:w="3209" w:type="dxa"/>
          </w:tcPr>
          <w:p w:rsidR="008B0D07" w:rsidRDefault="008B0D07" w:rsidP="002C7765">
            <w:pPr>
              <w:pStyle w:val="Default"/>
              <w:rPr>
                <w:sz w:val="17"/>
                <w:szCs w:val="17"/>
              </w:rPr>
            </w:pPr>
          </w:p>
          <w:p w:rsidR="008B0D07" w:rsidRDefault="008B0D07" w:rsidP="002C7765">
            <w:pPr>
              <w:pStyle w:val="Default"/>
              <w:rPr>
                <w:sz w:val="17"/>
                <w:szCs w:val="17"/>
              </w:rPr>
            </w:pPr>
            <w:r>
              <w:rPr>
                <w:sz w:val="17"/>
                <w:szCs w:val="17"/>
              </w:rPr>
              <w:t xml:space="preserve">National Annex available </w:t>
            </w:r>
          </w:p>
        </w:tc>
      </w:tr>
    </w:tbl>
    <w:p w:rsidR="00480AFB" w:rsidRDefault="00874F89" w:rsidP="00480AFB">
      <w:pPr>
        <w:spacing w:after="200" w:line="276" w:lineRule="auto"/>
      </w:pPr>
      <w:r>
        <w:br w:type="page"/>
      </w:r>
    </w:p>
    <w:p w:rsidR="00277A93" w:rsidRDefault="00277A93">
      <w:pPr>
        <w:spacing w:after="200" w:line="276" w:lineRule="auto"/>
      </w:pPr>
    </w:p>
    <w:tbl>
      <w:tblPr>
        <w:tblStyle w:val="TableGrid"/>
        <w:tblW w:w="0" w:type="auto"/>
        <w:tblLook w:val="04A0" w:firstRow="1" w:lastRow="0" w:firstColumn="1" w:lastColumn="0" w:noHBand="0" w:noVBand="1"/>
      </w:tblPr>
      <w:tblGrid>
        <w:gridCol w:w="2745"/>
        <w:gridCol w:w="6271"/>
      </w:tblGrid>
      <w:tr w:rsidR="00277A93" w:rsidRPr="00B33CAE" w:rsidTr="009C4D3D">
        <w:tc>
          <w:tcPr>
            <w:tcW w:w="9016" w:type="dxa"/>
            <w:gridSpan w:val="2"/>
            <w:vAlign w:val="center"/>
          </w:tcPr>
          <w:p w:rsidR="00277A93" w:rsidRDefault="00277A93" w:rsidP="009C4D3D">
            <w:pPr>
              <w:pStyle w:val="Default"/>
              <w:shd w:val="clear" w:color="auto" w:fill="D9D9D9" w:themeFill="background1" w:themeFillShade="D9"/>
              <w:rPr>
                <w:sz w:val="17"/>
                <w:szCs w:val="17"/>
              </w:rPr>
            </w:pPr>
          </w:p>
          <w:p w:rsidR="00277A93" w:rsidRDefault="00277A93" w:rsidP="009C4D3D">
            <w:pPr>
              <w:pStyle w:val="Default"/>
              <w:shd w:val="clear" w:color="auto" w:fill="D9D9D9" w:themeFill="background1" w:themeFillShade="D9"/>
              <w:rPr>
                <w:sz w:val="21"/>
                <w:szCs w:val="21"/>
              </w:rPr>
            </w:pPr>
            <w:r>
              <w:rPr>
                <w:sz w:val="21"/>
                <w:szCs w:val="21"/>
              </w:rPr>
              <w:t>NSAI Standards Construction – recent publications</w:t>
            </w:r>
          </w:p>
          <w:p w:rsidR="00277A93" w:rsidRPr="00B33CAE" w:rsidRDefault="00277A93" w:rsidP="009C4D3D">
            <w:pPr>
              <w:pStyle w:val="Default"/>
              <w:shd w:val="clear" w:color="auto" w:fill="D9D9D9" w:themeFill="background1" w:themeFillShade="D9"/>
              <w:rPr>
                <w:sz w:val="17"/>
                <w:szCs w:val="17"/>
              </w:rPr>
            </w:pPr>
          </w:p>
        </w:tc>
      </w:tr>
      <w:tr w:rsidR="00277A93" w:rsidTr="009C4D3D">
        <w:tc>
          <w:tcPr>
            <w:tcW w:w="2745" w:type="dxa"/>
          </w:tcPr>
          <w:p w:rsidR="00277A93" w:rsidRPr="00424D6D" w:rsidRDefault="00277A93" w:rsidP="009C4D3D">
            <w:pPr>
              <w:pStyle w:val="Default"/>
              <w:rPr>
                <w:sz w:val="17"/>
                <w:szCs w:val="17"/>
              </w:rPr>
            </w:pPr>
            <w:r w:rsidRPr="00424D6D">
              <w:rPr>
                <w:sz w:val="17"/>
                <w:szCs w:val="17"/>
              </w:rPr>
              <w:t>I.S. 127:2015</w:t>
            </w:r>
          </w:p>
        </w:tc>
        <w:tc>
          <w:tcPr>
            <w:tcW w:w="6271" w:type="dxa"/>
          </w:tcPr>
          <w:p w:rsidR="00277A93" w:rsidRPr="00424D6D" w:rsidRDefault="00277A93" w:rsidP="009C4D3D">
            <w:pPr>
              <w:pStyle w:val="Default"/>
              <w:rPr>
                <w:sz w:val="17"/>
                <w:szCs w:val="17"/>
              </w:rPr>
            </w:pPr>
            <w:r w:rsidRPr="00424D6D">
              <w:rPr>
                <w:sz w:val="17"/>
                <w:szCs w:val="17"/>
              </w:rPr>
              <w:t>Structural timber - Visual strength grading - Sawn softwoods with rectangular cross-section</w:t>
            </w:r>
          </w:p>
        </w:tc>
      </w:tr>
      <w:tr w:rsidR="00277A93" w:rsidTr="009C4D3D">
        <w:tc>
          <w:tcPr>
            <w:tcW w:w="2745" w:type="dxa"/>
          </w:tcPr>
          <w:p w:rsidR="00277A93" w:rsidRPr="00424D6D" w:rsidRDefault="00277A93" w:rsidP="009C4D3D">
            <w:pPr>
              <w:pStyle w:val="Default"/>
              <w:rPr>
                <w:sz w:val="17"/>
                <w:szCs w:val="17"/>
              </w:rPr>
            </w:pPr>
            <w:r w:rsidRPr="00424D6D">
              <w:rPr>
                <w:sz w:val="17"/>
                <w:szCs w:val="17"/>
              </w:rPr>
              <w:t>I.S. 291:2015</w:t>
            </w:r>
          </w:p>
        </w:tc>
        <w:tc>
          <w:tcPr>
            <w:tcW w:w="6271" w:type="dxa"/>
          </w:tcPr>
          <w:p w:rsidR="00277A93" w:rsidRPr="00424D6D" w:rsidRDefault="00277A93" w:rsidP="009C4D3D">
            <w:pPr>
              <w:pStyle w:val="Default"/>
              <w:rPr>
                <w:sz w:val="17"/>
                <w:szCs w:val="17"/>
              </w:rPr>
            </w:pPr>
            <w:r w:rsidRPr="00424D6D">
              <w:rPr>
                <w:sz w:val="17"/>
                <w:szCs w:val="17"/>
              </w:rPr>
              <w:t>Selection, commissioning, installation, inspection and maintenance of portable fire extinguishers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3217:2013+A1:2017</w:t>
            </w:r>
          </w:p>
        </w:tc>
        <w:tc>
          <w:tcPr>
            <w:tcW w:w="6271" w:type="dxa"/>
          </w:tcPr>
          <w:p w:rsidR="00277A93" w:rsidRPr="00424D6D" w:rsidRDefault="00277A93" w:rsidP="009C4D3D">
            <w:pPr>
              <w:pStyle w:val="Default"/>
              <w:rPr>
                <w:sz w:val="17"/>
                <w:szCs w:val="17"/>
              </w:rPr>
            </w:pPr>
            <w:r w:rsidRPr="00424D6D">
              <w:rPr>
                <w:sz w:val="17"/>
                <w:szCs w:val="17"/>
              </w:rPr>
              <w:t>Amendment to I.S. 3217:2013 Emergency Lighting</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370:2016</w:t>
            </w:r>
          </w:p>
        </w:tc>
        <w:tc>
          <w:tcPr>
            <w:tcW w:w="6271" w:type="dxa"/>
          </w:tcPr>
          <w:p w:rsidR="00277A93" w:rsidRPr="00424D6D" w:rsidRDefault="00277A93" w:rsidP="009C4D3D">
            <w:pPr>
              <w:pStyle w:val="Default"/>
              <w:rPr>
                <w:sz w:val="17"/>
                <w:szCs w:val="17"/>
              </w:rPr>
            </w:pPr>
            <w:r w:rsidRPr="00424D6D">
              <w:rPr>
                <w:sz w:val="17"/>
                <w:szCs w:val="17"/>
              </w:rPr>
              <w:t>Colour code for buried plastic piping</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440:2009/A1:2014</w:t>
            </w:r>
          </w:p>
        </w:tc>
        <w:tc>
          <w:tcPr>
            <w:tcW w:w="6271" w:type="dxa"/>
          </w:tcPr>
          <w:p w:rsidR="00277A93" w:rsidRPr="00424D6D" w:rsidRDefault="00277A93" w:rsidP="009C4D3D">
            <w:pPr>
              <w:pStyle w:val="Default"/>
              <w:rPr>
                <w:sz w:val="17"/>
                <w:szCs w:val="17"/>
              </w:rPr>
            </w:pPr>
            <w:r w:rsidRPr="00424D6D">
              <w:rPr>
                <w:sz w:val="17"/>
                <w:szCs w:val="17"/>
              </w:rPr>
              <w:t>Timber frame dwellings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888:2016</w:t>
            </w:r>
          </w:p>
        </w:tc>
        <w:tc>
          <w:tcPr>
            <w:tcW w:w="6271" w:type="dxa"/>
          </w:tcPr>
          <w:p w:rsidR="00277A93" w:rsidRPr="00424D6D" w:rsidRDefault="00277A93" w:rsidP="009C4D3D">
            <w:pPr>
              <w:pStyle w:val="Default"/>
              <w:rPr>
                <w:sz w:val="17"/>
                <w:szCs w:val="17"/>
              </w:rPr>
            </w:pPr>
            <w:r w:rsidRPr="00424D6D">
              <w:rPr>
                <w:sz w:val="17"/>
                <w:szCs w:val="17"/>
              </w:rPr>
              <w:t>Code of Practice for the procurement and use of unbound granular fill hardcore material for use under concrete floors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EN 1997-1:2005/NA:2007/A1:2015</w:t>
            </w:r>
          </w:p>
        </w:tc>
        <w:tc>
          <w:tcPr>
            <w:tcW w:w="6271" w:type="dxa"/>
          </w:tcPr>
          <w:p w:rsidR="00277A93" w:rsidRPr="00424D6D" w:rsidRDefault="00277A93" w:rsidP="009C4D3D">
            <w:pPr>
              <w:pStyle w:val="Default"/>
              <w:rPr>
                <w:sz w:val="17"/>
                <w:szCs w:val="17"/>
              </w:rPr>
            </w:pPr>
            <w:r w:rsidRPr="00424D6D">
              <w:rPr>
                <w:sz w:val="17"/>
                <w:szCs w:val="17"/>
              </w:rPr>
              <w:t>Revision of NA to I.S. EN 1997-1 Geotechnical design- Part 1: General rules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NA:2007+A1:2015 to I.S. EN 1993-1-1:2005+A1:2014</w:t>
            </w:r>
          </w:p>
        </w:tc>
        <w:tc>
          <w:tcPr>
            <w:tcW w:w="6271" w:type="dxa"/>
          </w:tcPr>
          <w:p w:rsidR="00277A93" w:rsidRPr="00424D6D" w:rsidRDefault="00277A93" w:rsidP="009C4D3D">
            <w:pPr>
              <w:pStyle w:val="Default"/>
              <w:rPr>
                <w:sz w:val="17"/>
                <w:szCs w:val="17"/>
              </w:rPr>
            </w:pPr>
            <w:r w:rsidRPr="00424D6D">
              <w:rPr>
                <w:sz w:val="17"/>
                <w:szCs w:val="17"/>
              </w:rPr>
              <w:t>Irish National Annex to Eurocode 3: Design of steel structures - Part 1-1: General rules and rules for buildings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NA:2010+A1:2014 to I.S. EN 1996-1-1:2005+A1:2012</w:t>
            </w:r>
          </w:p>
        </w:tc>
        <w:tc>
          <w:tcPr>
            <w:tcW w:w="6271" w:type="dxa"/>
          </w:tcPr>
          <w:p w:rsidR="00277A93" w:rsidRPr="00424D6D" w:rsidRDefault="00277A93" w:rsidP="009C4D3D">
            <w:pPr>
              <w:pStyle w:val="Default"/>
              <w:rPr>
                <w:sz w:val="17"/>
                <w:szCs w:val="17"/>
              </w:rPr>
            </w:pPr>
            <w:r w:rsidRPr="00424D6D">
              <w:rPr>
                <w:sz w:val="17"/>
                <w:szCs w:val="17"/>
              </w:rPr>
              <w:t>Revision to the National Annex to I.S. EN 1996-1-1 (Eurocode 6 – Design of masonry structures Part 1-1: General rules for reinforced and unreinforced masonry structures).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NA:2010+A1:2016 to I.S. EN 1992-1-1:2004</w:t>
            </w:r>
          </w:p>
        </w:tc>
        <w:tc>
          <w:tcPr>
            <w:tcW w:w="6271" w:type="dxa"/>
          </w:tcPr>
          <w:p w:rsidR="00277A93" w:rsidRPr="00424D6D" w:rsidRDefault="00277A93" w:rsidP="009C4D3D">
            <w:pPr>
              <w:pStyle w:val="Default"/>
              <w:rPr>
                <w:sz w:val="17"/>
                <w:szCs w:val="17"/>
              </w:rPr>
            </w:pPr>
            <w:r w:rsidRPr="00424D6D">
              <w:rPr>
                <w:sz w:val="17"/>
                <w:szCs w:val="17"/>
              </w:rPr>
              <w:t>Amendment to NA to I.S. EN 1992-1-1: Eurocode 2: Design of concrete structures- Part 1-1: General- Common rules and rules for buildings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NA:2015 to I.S. EN 13670:2009</w:t>
            </w:r>
          </w:p>
        </w:tc>
        <w:tc>
          <w:tcPr>
            <w:tcW w:w="6271" w:type="dxa"/>
          </w:tcPr>
          <w:p w:rsidR="00277A93" w:rsidRPr="00424D6D" w:rsidRDefault="00277A93" w:rsidP="009C4D3D">
            <w:pPr>
              <w:pStyle w:val="Default"/>
              <w:rPr>
                <w:sz w:val="17"/>
                <w:szCs w:val="17"/>
              </w:rPr>
            </w:pPr>
            <w:r w:rsidRPr="00424D6D">
              <w:rPr>
                <w:sz w:val="17"/>
                <w:szCs w:val="17"/>
              </w:rPr>
              <w:t>Irish National Annex to I.S. EN 13670:2009 - Execution of concrete structures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NA:2015 to I.S. EN 206:2013</w:t>
            </w:r>
          </w:p>
        </w:tc>
        <w:tc>
          <w:tcPr>
            <w:tcW w:w="6271" w:type="dxa"/>
          </w:tcPr>
          <w:p w:rsidR="00277A93" w:rsidRPr="00424D6D" w:rsidRDefault="00277A93" w:rsidP="009C4D3D">
            <w:pPr>
              <w:pStyle w:val="Default"/>
              <w:rPr>
                <w:sz w:val="17"/>
                <w:szCs w:val="17"/>
              </w:rPr>
            </w:pPr>
            <w:r w:rsidRPr="00424D6D">
              <w:rPr>
                <w:sz w:val="17"/>
                <w:szCs w:val="17"/>
              </w:rPr>
              <w:t>National Annex to I.S. EN 206:2013, Concrete - Specification, performance, production and conformity</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S.R. 16:2016</w:t>
            </w:r>
          </w:p>
        </w:tc>
        <w:tc>
          <w:tcPr>
            <w:tcW w:w="6271" w:type="dxa"/>
          </w:tcPr>
          <w:p w:rsidR="00277A93" w:rsidRPr="00424D6D" w:rsidRDefault="00277A93" w:rsidP="009C4D3D">
            <w:pPr>
              <w:pStyle w:val="Default"/>
              <w:rPr>
                <w:sz w:val="17"/>
                <w:szCs w:val="17"/>
              </w:rPr>
            </w:pPr>
            <w:r w:rsidRPr="00424D6D">
              <w:rPr>
                <w:sz w:val="17"/>
                <w:szCs w:val="17"/>
              </w:rPr>
              <w:t>Guidance on the use of I.S. EN 12620:2002+A1:2008 - Aggregates for concrete</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S.R. 21:2014/A1:2016</w:t>
            </w:r>
          </w:p>
        </w:tc>
        <w:tc>
          <w:tcPr>
            <w:tcW w:w="6271" w:type="dxa"/>
          </w:tcPr>
          <w:p w:rsidR="00277A93" w:rsidRPr="00424D6D" w:rsidRDefault="00277A93" w:rsidP="009C4D3D">
            <w:pPr>
              <w:pStyle w:val="Default"/>
              <w:rPr>
                <w:sz w:val="17"/>
                <w:szCs w:val="17"/>
              </w:rPr>
            </w:pPr>
            <w:r w:rsidRPr="00424D6D">
              <w:rPr>
                <w:sz w:val="17"/>
                <w:szCs w:val="17"/>
              </w:rPr>
              <w:t>Amendment to SR 21:2014 Guidance on the use of I.S. EN 13242:2002+A1:2007 - Aggregates for unbound and hydraulically bound materials for use in civil engineering work and road construction</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S.R. 325:2013+A1:2014</w:t>
            </w:r>
          </w:p>
        </w:tc>
        <w:tc>
          <w:tcPr>
            <w:tcW w:w="6271" w:type="dxa"/>
          </w:tcPr>
          <w:p w:rsidR="00277A93" w:rsidRPr="00424D6D" w:rsidRDefault="00277A93" w:rsidP="009C4D3D">
            <w:pPr>
              <w:pStyle w:val="Default"/>
              <w:rPr>
                <w:sz w:val="17"/>
                <w:szCs w:val="17"/>
              </w:rPr>
            </w:pPr>
            <w:r w:rsidRPr="00424D6D">
              <w:rPr>
                <w:sz w:val="17"/>
                <w:szCs w:val="17"/>
              </w:rPr>
              <w:t>Recommendations for the design of masonry structures in Ireland to Eurocode 6</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S.R. 54:2014</w:t>
            </w:r>
          </w:p>
        </w:tc>
        <w:tc>
          <w:tcPr>
            <w:tcW w:w="6271" w:type="dxa"/>
          </w:tcPr>
          <w:p w:rsidR="00277A93" w:rsidRPr="00424D6D" w:rsidRDefault="00277A93" w:rsidP="009C4D3D">
            <w:pPr>
              <w:pStyle w:val="Default"/>
              <w:rPr>
                <w:sz w:val="17"/>
                <w:szCs w:val="17"/>
              </w:rPr>
            </w:pPr>
            <w:r w:rsidRPr="00424D6D">
              <w:rPr>
                <w:sz w:val="17"/>
                <w:szCs w:val="17"/>
              </w:rPr>
              <w:t>Code of practice — Methodology for the energy efficient retrofit of existing dwellings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S.R. 70:2015</w:t>
            </w:r>
          </w:p>
        </w:tc>
        <w:tc>
          <w:tcPr>
            <w:tcW w:w="6271" w:type="dxa"/>
          </w:tcPr>
          <w:p w:rsidR="00277A93" w:rsidRPr="00424D6D" w:rsidRDefault="00277A93" w:rsidP="009C4D3D">
            <w:pPr>
              <w:pStyle w:val="Default"/>
              <w:rPr>
                <w:sz w:val="17"/>
                <w:szCs w:val="17"/>
              </w:rPr>
            </w:pPr>
            <w:r w:rsidRPr="00424D6D">
              <w:rPr>
                <w:sz w:val="17"/>
                <w:szCs w:val="17"/>
              </w:rPr>
              <w:t>Timber in construction - Eurocode 5 - Trussed rafters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S.R. 71:2015</w:t>
            </w:r>
          </w:p>
        </w:tc>
        <w:tc>
          <w:tcPr>
            <w:tcW w:w="6271" w:type="dxa"/>
          </w:tcPr>
          <w:p w:rsidR="00277A93" w:rsidRPr="00424D6D" w:rsidRDefault="00277A93" w:rsidP="009C4D3D">
            <w:pPr>
              <w:pStyle w:val="Default"/>
              <w:rPr>
                <w:sz w:val="17"/>
                <w:szCs w:val="17"/>
              </w:rPr>
            </w:pPr>
            <w:r w:rsidRPr="00424D6D">
              <w:rPr>
                <w:sz w:val="17"/>
                <w:szCs w:val="17"/>
              </w:rPr>
              <w:t>Timber in construction – Eurocode 5 – Span tables and guidelines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S.R. 66: 2015</w:t>
            </w:r>
          </w:p>
        </w:tc>
        <w:tc>
          <w:tcPr>
            <w:tcW w:w="6271" w:type="dxa"/>
            <w:vAlign w:val="bottom"/>
          </w:tcPr>
          <w:p w:rsidR="00277A93" w:rsidRPr="00424D6D" w:rsidRDefault="00277A93" w:rsidP="009C4D3D">
            <w:pPr>
              <w:pStyle w:val="Default"/>
              <w:rPr>
                <w:sz w:val="17"/>
                <w:szCs w:val="17"/>
              </w:rPr>
            </w:pPr>
            <w:r w:rsidRPr="00424D6D">
              <w:rPr>
                <w:sz w:val="17"/>
                <w:szCs w:val="17"/>
              </w:rPr>
              <w:t>Standard Recommendation providing guidance to wastewater treatment products in compliance with the EN 12566 series of standards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201-4:2013/AC2:2014</w:t>
            </w:r>
          </w:p>
        </w:tc>
        <w:tc>
          <w:tcPr>
            <w:tcW w:w="6271" w:type="dxa"/>
          </w:tcPr>
          <w:p w:rsidR="00277A93" w:rsidRPr="00424D6D" w:rsidRDefault="00277A93" w:rsidP="009C4D3D">
            <w:pPr>
              <w:pStyle w:val="Default"/>
              <w:rPr>
                <w:sz w:val="17"/>
                <w:szCs w:val="17"/>
              </w:rPr>
            </w:pPr>
            <w:r w:rsidRPr="00424D6D">
              <w:rPr>
                <w:sz w:val="17"/>
                <w:szCs w:val="17"/>
              </w:rPr>
              <w:t>Polyvinyl Chloride Insulated Cables of Rated Voltages up to and including 450/750V - Part 4: PVC and Low Smoke Halogen Free Sheathed cables for fixed wiring</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265:2000+A1:2014</w:t>
            </w:r>
          </w:p>
        </w:tc>
        <w:tc>
          <w:tcPr>
            <w:tcW w:w="6271" w:type="dxa"/>
          </w:tcPr>
          <w:p w:rsidR="00277A93" w:rsidRPr="00424D6D" w:rsidRDefault="00277A93" w:rsidP="009C4D3D">
            <w:pPr>
              <w:pStyle w:val="Default"/>
              <w:rPr>
                <w:sz w:val="17"/>
                <w:szCs w:val="17"/>
              </w:rPr>
            </w:pPr>
            <w:r w:rsidRPr="00424D6D">
              <w:rPr>
                <w:sz w:val="17"/>
                <w:szCs w:val="17"/>
              </w:rPr>
              <w:t>Installation of Gas Service Pipes - Parts 1 and 2 (Fourth Edition) (including amendment No. 1)</w:t>
            </w:r>
          </w:p>
        </w:tc>
      </w:tr>
      <w:tr w:rsidR="00277A93" w:rsidRPr="00424D6D" w:rsidTr="009C4D3D">
        <w:tc>
          <w:tcPr>
            <w:tcW w:w="2745" w:type="dxa"/>
            <w:vAlign w:val="bottom"/>
          </w:tcPr>
          <w:p w:rsidR="00277A93" w:rsidRPr="00424D6D" w:rsidRDefault="00277A93" w:rsidP="009C4D3D">
            <w:pPr>
              <w:pStyle w:val="Default"/>
              <w:rPr>
                <w:sz w:val="17"/>
                <w:szCs w:val="17"/>
              </w:rPr>
            </w:pPr>
            <w:r w:rsidRPr="00424D6D">
              <w:rPr>
                <w:sz w:val="17"/>
                <w:szCs w:val="17"/>
              </w:rPr>
              <w:t>I.S. 3213:201x revision</w:t>
            </w:r>
          </w:p>
        </w:tc>
        <w:tc>
          <w:tcPr>
            <w:tcW w:w="6271" w:type="dxa"/>
            <w:vAlign w:val="bottom"/>
          </w:tcPr>
          <w:p w:rsidR="00277A93" w:rsidRPr="00424D6D" w:rsidRDefault="00277A93" w:rsidP="009C4D3D">
            <w:pPr>
              <w:pStyle w:val="Default"/>
              <w:rPr>
                <w:sz w:val="17"/>
                <w:szCs w:val="17"/>
              </w:rPr>
            </w:pPr>
            <w:r w:rsidRPr="00424D6D">
              <w:rPr>
                <w:sz w:val="17"/>
                <w:szCs w:val="17"/>
              </w:rPr>
              <w:t>Code of practice for the storage of LPG cylinders and cartridges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3216:2010/A1:2014</w:t>
            </w:r>
          </w:p>
        </w:tc>
        <w:tc>
          <w:tcPr>
            <w:tcW w:w="6271" w:type="dxa"/>
          </w:tcPr>
          <w:p w:rsidR="00277A93" w:rsidRPr="00424D6D" w:rsidRDefault="00277A93" w:rsidP="009C4D3D">
            <w:pPr>
              <w:pStyle w:val="Default"/>
              <w:rPr>
                <w:sz w:val="17"/>
                <w:szCs w:val="17"/>
              </w:rPr>
            </w:pPr>
            <w:r w:rsidRPr="00424D6D">
              <w:rPr>
                <w:sz w:val="17"/>
                <w:szCs w:val="17"/>
              </w:rPr>
              <w:t>Code of Practice - Bulk storage of liquefied petroleum gas (LPG)</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328:2015</w:t>
            </w:r>
          </w:p>
        </w:tc>
        <w:tc>
          <w:tcPr>
            <w:tcW w:w="6271" w:type="dxa"/>
          </w:tcPr>
          <w:p w:rsidR="00277A93" w:rsidRPr="00424D6D" w:rsidRDefault="00277A93" w:rsidP="009C4D3D">
            <w:pPr>
              <w:pStyle w:val="Default"/>
              <w:rPr>
                <w:sz w:val="17"/>
                <w:szCs w:val="17"/>
              </w:rPr>
            </w:pPr>
            <w:r w:rsidRPr="00424D6D">
              <w:rPr>
                <w:sz w:val="17"/>
                <w:szCs w:val="17"/>
              </w:rPr>
              <w:t>Gas transmission pipelines - Edition 4</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329:2015+A1:2016</w:t>
            </w:r>
          </w:p>
        </w:tc>
        <w:tc>
          <w:tcPr>
            <w:tcW w:w="6271" w:type="dxa"/>
          </w:tcPr>
          <w:p w:rsidR="00277A93" w:rsidRPr="00424D6D" w:rsidRDefault="00277A93" w:rsidP="009C4D3D">
            <w:pPr>
              <w:pStyle w:val="Default"/>
              <w:rPr>
                <w:sz w:val="17"/>
                <w:szCs w:val="17"/>
              </w:rPr>
            </w:pPr>
            <w:r w:rsidRPr="00424D6D">
              <w:rPr>
                <w:sz w:val="17"/>
                <w:szCs w:val="17"/>
              </w:rPr>
              <w:t>Gas distribution mains (Edition 3) and Amendment No. 1:2016</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I.S. 813:2014+A1:2017/AC:2017</w:t>
            </w:r>
          </w:p>
        </w:tc>
        <w:tc>
          <w:tcPr>
            <w:tcW w:w="6271" w:type="dxa"/>
          </w:tcPr>
          <w:p w:rsidR="00277A93" w:rsidRPr="00424D6D" w:rsidRDefault="00277A93" w:rsidP="009C4D3D">
            <w:pPr>
              <w:pStyle w:val="Default"/>
              <w:rPr>
                <w:sz w:val="17"/>
                <w:szCs w:val="17"/>
              </w:rPr>
            </w:pPr>
            <w:r w:rsidRPr="00424D6D">
              <w:rPr>
                <w:sz w:val="17"/>
                <w:szCs w:val="17"/>
              </w:rPr>
              <w:t>Domestic gas installations  (Edition 3) and Including Amendment 1 2017</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NA:2015 to I.S. EN 1555-1:2010</w:t>
            </w:r>
          </w:p>
        </w:tc>
        <w:tc>
          <w:tcPr>
            <w:tcW w:w="6271" w:type="dxa"/>
          </w:tcPr>
          <w:p w:rsidR="00277A93" w:rsidRPr="00424D6D" w:rsidRDefault="00277A93" w:rsidP="009C4D3D">
            <w:pPr>
              <w:pStyle w:val="Default"/>
              <w:rPr>
                <w:sz w:val="17"/>
                <w:szCs w:val="17"/>
              </w:rPr>
            </w:pPr>
            <w:r w:rsidRPr="00424D6D">
              <w:rPr>
                <w:sz w:val="17"/>
                <w:szCs w:val="17"/>
              </w:rPr>
              <w:t>National Annex to Plastics piping systems for the supply of gaseous fuels - Polyethylene (PE) - Part 1: General</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NA:2015 to I.S. EN 1555-2:2010</w:t>
            </w:r>
          </w:p>
        </w:tc>
        <w:tc>
          <w:tcPr>
            <w:tcW w:w="6271" w:type="dxa"/>
          </w:tcPr>
          <w:p w:rsidR="00277A93" w:rsidRPr="00424D6D" w:rsidRDefault="00277A93" w:rsidP="009C4D3D">
            <w:pPr>
              <w:pStyle w:val="Default"/>
              <w:rPr>
                <w:sz w:val="17"/>
                <w:szCs w:val="17"/>
              </w:rPr>
            </w:pPr>
            <w:r w:rsidRPr="00424D6D">
              <w:rPr>
                <w:sz w:val="17"/>
                <w:szCs w:val="17"/>
              </w:rPr>
              <w:t>National Annex to Plastics piping systems for the supply of gaseous fuels - Polyethylene (PE) - Part 2: Pipes</w:t>
            </w:r>
          </w:p>
        </w:tc>
      </w:tr>
      <w:tr w:rsidR="00277A93" w:rsidRPr="00424D6D" w:rsidTr="009C4D3D">
        <w:tc>
          <w:tcPr>
            <w:tcW w:w="2745" w:type="dxa"/>
          </w:tcPr>
          <w:p w:rsidR="00277A93" w:rsidRPr="00424D6D" w:rsidRDefault="00277A93" w:rsidP="009C4D3D">
            <w:pPr>
              <w:pStyle w:val="Default"/>
              <w:rPr>
                <w:sz w:val="17"/>
                <w:szCs w:val="17"/>
              </w:rPr>
            </w:pPr>
            <w:r w:rsidRPr="00424D6D">
              <w:rPr>
                <w:sz w:val="17"/>
                <w:szCs w:val="17"/>
              </w:rPr>
              <w:t>S.R. 12007-5:2016</w:t>
            </w:r>
          </w:p>
        </w:tc>
        <w:tc>
          <w:tcPr>
            <w:tcW w:w="6271" w:type="dxa"/>
          </w:tcPr>
          <w:p w:rsidR="00277A93" w:rsidRPr="00424D6D" w:rsidRDefault="00277A93" w:rsidP="009C4D3D">
            <w:pPr>
              <w:pStyle w:val="Default"/>
              <w:rPr>
                <w:sz w:val="17"/>
                <w:szCs w:val="17"/>
              </w:rPr>
            </w:pPr>
            <w:r w:rsidRPr="00424D6D">
              <w:rPr>
                <w:sz w:val="17"/>
                <w:szCs w:val="17"/>
              </w:rPr>
              <w:t>Guidance on the application of I.S. EN 12007-5:2014, Gas infrastructure - Pipelines for maximum operating pressure up to and including 16 bar - Part 5: Service lines - Specific functional requirements</w:t>
            </w:r>
          </w:p>
        </w:tc>
      </w:tr>
    </w:tbl>
    <w:p w:rsidR="00277A93" w:rsidRDefault="00277A93">
      <w:pPr>
        <w:spacing w:after="200" w:line="276" w:lineRule="auto"/>
      </w:pPr>
    </w:p>
    <w:p w:rsidR="00277A93" w:rsidRDefault="00277A93" w:rsidP="00480AFB">
      <w:pPr>
        <w:spacing w:after="200" w:line="276" w:lineRule="auto"/>
      </w:pPr>
    </w:p>
    <w:tbl>
      <w:tblPr>
        <w:tblStyle w:val="TableGrid"/>
        <w:tblW w:w="0" w:type="auto"/>
        <w:tblLook w:val="04A0" w:firstRow="1" w:lastRow="0" w:firstColumn="1" w:lastColumn="0" w:noHBand="0" w:noVBand="1"/>
      </w:tblPr>
      <w:tblGrid>
        <w:gridCol w:w="2647"/>
        <w:gridCol w:w="3924"/>
        <w:gridCol w:w="2445"/>
      </w:tblGrid>
      <w:tr w:rsidR="00480AFB" w:rsidRPr="00B33CAE" w:rsidTr="008B0D07">
        <w:tc>
          <w:tcPr>
            <w:tcW w:w="9016" w:type="dxa"/>
            <w:gridSpan w:val="3"/>
            <w:vAlign w:val="center"/>
          </w:tcPr>
          <w:p w:rsidR="008B0D07" w:rsidRDefault="008B0D07" w:rsidP="008B0D07">
            <w:pPr>
              <w:pStyle w:val="Default"/>
              <w:shd w:val="clear" w:color="auto" w:fill="D9D9D9" w:themeFill="background1" w:themeFillShade="D9"/>
              <w:rPr>
                <w:sz w:val="17"/>
                <w:szCs w:val="17"/>
              </w:rPr>
            </w:pPr>
          </w:p>
          <w:p w:rsidR="008B0D07" w:rsidRDefault="008B0D07" w:rsidP="008B0D07">
            <w:pPr>
              <w:pStyle w:val="Default"/>
              <w:shd w:val="clear" w:color="auto" w:fill="D9D9D9" w:themeFill="background1" w:themeFillShade="D9"/>
              <w:rPr>
                <w:sz w:val="21"/>
                <w:szCs w:val="21"/>
              </w:rPr>
            </w:pPr>
            <w:r>
              <w:rPr>
                <w:sz w:val="21"/>
                <w:szCs w:val="21"/>
              </w:rPr>
              <w:t>NSAI Standards Construction – projects in hand</w:t>
            </w:r>
          </w:p>
          <w:p w:rsidR="00480AFB" w:rsidRPr="00B33CAE" w:rsidRDefault="00480AFB" w:rsidP="002C7765">
            <w:pPr>
              <w:pStyle w:val="Default"/>
              <w:shd w:val="clear" w:color="auto" w:fill="D9D9D9" w:themeFill="background1" w:themeFillShade="D9"/>
              <w:rPr>
                <w:sz w:val="17"/>
                <w:szCs w:val="17"/>
              </w:rPr>
            </w:pPr>
          </w:p>
        </w:tc>
      </w:tr>
      <w:tr w:rsidR="00480AFB" w:rsidTr="008B0D07">
        <w:tc>
          <w:tcPr>
            <w:tcW w:w="2647" w:type="dxa"/>
            <w:vAlign w:val="bottom"/>
          </w:tcPr>
          <w:p w:rsidR="00480AFB" w:rsidRPr="00424D6D" w:rsidRDefault="00480AFB" w:rsidP="00480AFB">
            <w:pPr>
              <w:pStyle w:val="Default"/>
              <w:rPr>
                <w:sz w:val="17"/>
                <w:szCs w:val="17"/>
              </w:rPr>
            </w:pPr>
            <w:r w:rsidRPr="00424D6D">
              <w:rPr>
                <w:sz w:val="17"/>
                <w:szCs w:val="17"/>
              </w:rPr>
              <w:t>S.R. 82:201x</w:t>
            </w:r>
          </w:p>
        </w:tc>
        <w:tc>
          <w:tcPr>
            <w:tcW w:w="3924" w:type="dxa"/>
            <w:vAlign w:val="bottom"/>
          </w:tcPr>
          <w:p w:rsidR="00480AFB" w:rsidRDefault="00480AFB" w:rsidP="00480AFB">
            <w:pPr>
              <w:pStyle w:val="Default"/>
              <w:rPr>
                <w:sz w:val="17"/>
                <w:szCs w:val="17"/>
              </w:rPr>
            </w:pPr>
          </w:p>
          <w:p w:rsidR="00480AFB" w:rsidRPr="00424D6D" w:rsidRDefault="00480AFB" w:rsidP="00480AFB">
            <w:pPr>
              <w:pStyle w:val="Default"/>
              <w:rPr>
                <w:sz w:val="17"/>
                <w:szCs w:val="17"/>
              </w:rPr>
            </w:pPr>
            <w:r w:rsidRPr="00424D6D">
              <w:rPr>
                <w:sz w:val="17"/>
                <w:szCs w:val="17"/>
              </w:rPr>
              <w:t>Slating and Tiling - Code of Practice</w:t>
            </w:r>
          </w:p>
        </w:tc>
        <w:tc>
          <w:tcPr>
            <w:tcW w:w="2445" w:type="dxa"/>
          </w:tcPr>
          <w:p w:rsidR="008B0D07" w:rsidRDefault="008B0D07" w:rsidP="00480AFB">
            <w:pPr>
              <w:pStyle w:val="Default"/>
              <w:rPr>
                <w:sz w:val="17"/>
                <w:szCs w:val="17"/>
              </w:rPr>
            </w:pPr>
          </w:p>
          <w:p w:rsidR="00480AFB" w:rsidRDefault="008B0D07" w:rsidP="00480AFB">
            <w:pPr>
              <w:pStyle w:val="Default"/>
              <w:rPr>
                <w:sz w:val="17"/>
                <w:szCs w:val="17"/>
              </w:rPr>
            </w:pPr>
            <w:r>
              <w:rPr>
                <w:sz w:val="17"/>
                <w:szCs w:val="17"/>
              </w:rPr>
              <w:t>Publication due Q3 2017</w:t>
            </w:r>
          </w:p>
        </w:tc>
      </w:tr>
      <w:tr w:rsidR="00480AFB" w:rsidTr="008B0D07">
        <w:tc>
          <w:tcPr>
            <w:tcW w:w="2647" w:type="dxa"/>
            <w:vAlign w:val="bottom"/>
          </w:tcPr>
          <w:p w:rsidR="00480AFB" w:rsidRPr="00424D6D" w:rsidRDefault="00480AFB" w:rsidP="00480AFB">
            <w:pPr>
              <w:pStyle w:val="Default"/>
              <w:rPr>
                <w:sz w:val="17"/>
                <w:szCs w:val="17"/>
              </w:rPr>
            </w:pPr>
            <w:r w:rsidRPr="00424D6D">
              <w:rPr>
                <w:sz w:val="17"/>
                <w:szCs w:val="17"/>
              </w:rPr>
              <w:t>I.S. 398-1:201x  - Revision</w:t>
            </w:r>
          </w:p>
        </w:tc>
        <w:tc>
          <w:tcPr>
            <w:tcW w:w="3924" w:type="dxa"/>
            <w:vAlign w:val="bottom"/>
          </w:tcPr>
          <w:p w:rsidR="00480AFB" w:rsidRDefault="00480AFB" w:rsidP="00480AFB">
            <w:pPr>
              <w:pStyle w:val="Default"/>
              <w:rPr>
                <w:sz w:val="17"/>
                <w:szCs w:val="17"/>
              </w:rPr>
            </w:pPr>
          </w:p>
          <w:p w:rsidR="00480AFB" w:rsidRPr="00424D6D" w:rsidRDefault="00480AFB" w:rsidP="00480AFB">
            <w:pPr>
              <w:pStyle w:val="Default"/>
              <w:rPr>
                <w:sz w:val="17"/>
                <w:szCs w:val="17"/>
              </w:rPr>
            </w:pPr>
            <w:r w:rsidRPr="00424D6D">
              <w:rPr>
                <w:sz w:val="17"/>
                <w:szCs w:val="17"/>
              </w:rPr>
              <w:t>I.S. 398-1:2013 Reactive Pyrite in sub-floor hardcore material - Part 1: Testing and categorization protocol</w:t>
            </w:r>
          </w:p>
        </w:tc>
        <w:tc>
          <w:tcPr>
            <w:tcW w:w="2445" w:type="dxa"/>
          </w:tcPr>
          <w:p w:rsidR="008B0D07" w:rsidRDefault="008B0D07" w:rsidP="00480AFB">
            <w:pPr>
              <w:pStyle w:val="Default"/>
              <w:rPr>
                <w:sz w:val="17"/>
                <w:szCs w:val="17"/>
              </w:rPr>
            </w:pPr>
          </w:p>
          <w:p w:rsidR="00480AFB" w:rsidRDefault="008B0D07" w:rsidP="00480AFB">
            <w:pPr>
              <w:pStyle w:val="Default"/>
              <w:rPr>
                <w:sz w:val="17"/>
                <w:szCs w:val="17"/>
              </w:rPr>
            </w:pPr>
            <w:r>
              <w:rPr>
                <w:sz w:val="17"/>
                <w:szCs w:val="17"/>
              </w:rPr>
              <w:t>Publication due Q3 2017</w:t>
            </w:r>
          </w:p>
        </w:tc>
      </w:tr>
      <w:tr w:rsidR="00C61A89" w:rsidTr="008B0D07">
        <w:tc>
          <w:tcPr>
            <w:tcW w:w="2647" w:type="dxa"/>
            <w:vAlign w:val="center"/>
          </w:tcPr>
          <w:p w:rsidR="00C61A89" w:rsidRPr="00424D6D" w:rsidRDefault="00C61A89" w:rsidP="00C61A89">
            <w:pPr>
              <w:pStyle w:val="Default"/>
              <w:rPr>
                <w:sz w:val="17"/>
                <w:szCs w:val="17"/>
              </w:rPr>
            </w:pPr>
            <w:r w:rsidRPr="00424D6D">
              <w:rPr>
                <w:sz w:val="17"/>
                <w:szCs w:val="17"/>
              </w:rPr>
              <w:t>SR 18: 201x - Revision</w:t>
            </w:r>
          </w:p>
        </w:tc>
        <w:tc>
          <w:tcPr>
            <w:tcW w:w="3924" w:type="dxa"/>
          </w:tcPr>
          <w:p w:rsidR="00C61A89" w:rsidRPr="00424D6D" w:rsidRDefault="00C61A89" w:rsidP="00C61A89">
            <w:pPr>
              <w:pStyle w:val="Default"/>
              <w:rPr>
                <w:sz w:val="17"/>
                <w:szCs w:val="17"/>
              </w:rPr>
            </w:pPr>
          </w:p>
          <w:p w:rsidR="00C61A89" w:rsidRPr="00424D6D" w:rsidRDefault="00C61A89" w:rsidP="00C61A89">
            <w:pPr>
              <w:pStyle w:val="Default"/>
              <w:rPr>
                <w:sz w:val="17"/>
                <w:szCs w:val="17"/>
              </w:rPr>
            </w:pPr>
            <w:r w:rsidRPr="00424D6D">
              <w:rPr>
                <w:sz w:val="17"/>
                <w:szCs w:val="17"/>
              </w:rPr>
              <w:t>Guidance on the use of I.S. EN 13139:2002- Aggregates for mortar</w:t>
            </w:r>
          </w:p>
        </w:tc>
        <w:tc>
          <w:tcPr>
            <w:tcW w:w="2445" w:type="dxa"/>
          </w:tcPr>
          <w:p w:rsidR="00C61A89" w:rsidRPr="00424D6D" w:rsidRDefault="00C61A89" w:rsidP="00C61A89">
            <w:pPr>
              <w:pStyle w:val="Default"/>
              <w:rPr>
                <w:sz w:val="17"/>
                <w:szCs w:val="17"/>
              </w:rPr>
            </w:pPr>
            <w:r>
              <w:rPr>
                <w:sz w:val="17"/>
                <w:szCs w:val="17"/>
              </w:rPr>
              <w:t>On holding – awaiting revision to EN scheduled Q3 2017</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I.S. 435-1:201x - Revision</w:t>
            </w:r>
          </w:p>
        </w:tc>
        <w:tc>
          <w:tcPr>
            <w:tcW w:w="3924" w:type="dxa"/>
            <w:vAlign w:val="bottom"/>
          </w:tcPr>
          <w:p w:rsidR="00C61A89" w:rsidRPr="00424D6D" w:rsidRDefault="00C61A89" w:rsidP="00C61A89">
            <w:pPr>
              <w:pStyle w:val="Default"/>
              <w:rPr>
                <w:sz w:val="17"/>
                <w:szCs w:val="17"/>
              </w:rPr>
            </w:pPr>
            <w:r w:rsidRPr="00424D6D">
              <w:rPr>
                <w:sz w:val="17"/>
                <w:szCs w:val="17"/>
              </w:rPr>
              <w:t xml:space="preserve">Timber post and rail roadside fencing - Part 1:Materials </w:t>
            </w:r>
          </w:p>
        </w:tc>
        <w:tc>
          <w:tcPr>
            <w:tcW w:w="2445" w:type="dxa"/>
          </w:tcPr>
          <w:p w:rsidR="00C61A89" w:rsidRDefault="00C61A89" w:rsidP="00C61A89">
            <w:pPr>
              <w:pStyle w:val="Default"/>
              <w:rPr>
                <w:sz w:val="17"/>
                <w:szCs w:val="17"/>
              </w:rPr>
            </w:pPr>
          </w:p>
          <w:p w:rsidR="00C61A89" w:rsidRPr="00424D6D" w:rsidRDefault="00C61A89" w:rsidP="00C61A89">
            <w:pPr>
              <w:pStyle w:val="Default"/>
              <w:rPr>
                <w:sz w:val="17"/>
                <w:szCs w:val="17"/>
              </w:rPr>
            </w:pPr>
            <w:r>
              <w:rPr>
                <w:sz w:val="17"/>
                <w:szCs w:val="17"/>
              </w:rPr>
              <w:t>Publish Q4 2017</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I.S. 435-2:201x - Revision</w:t>
            </w:r>
          </w:p>
        </w:tc>
        <w:tc>
          <w:tcPr>
            <w:tcW w:w="3924" w:type="dxa"/>
            <w:vAlign w:val="bottom"/>
          </w:tcPr>
          <w:p w:rsidR="00C61A89" w:rsidRPr="00424D6D" w:rsidRDefault="00C61A89" w:rsidP="00C61A89">
            <w:pPr>
              <w:pStyle w:val="Default"/>
              <w:rPr>
                <w:sz w:val="17"/>
                <w:szCs w:val="17"/>
              </w:rPr>
            </w:pPr>
            <w:r w:rsidRPr="00424D6D">
              <w:rPr>
                <w:sz w:val="17"/>
                <w:szCs w:val="17"/>
              </w:rPr>
              <w:t xml:space="preserve">Timber post and rail roadside fencing - Part 2:Erection of fencing by excavation for posts </w:t>
            </w:r>
          </w:p>
        </w:tc>
        <w:tc>
          <w:tcPr>
            <w:tcW w:w="2445" w:type="dxa"/>
          </w:tcPr>
          <w:p w:rsidR="00C61A89" w:rsidRDefault="00C61A89" w:rsidP="00C61A89">
            <w:pPr>
              <w:pStyle w:val="Default"/>
              <w:rPr>
                <w:sz w:val="17"/>
                <w:szCs w:val="17"/>
              </w:rPr>
            </w:pPr>
          </w:p>
          <w:p w:rsidR="00C61A89" w:rsidRPr="00424D6D" w:rsidRDefault="00C61A89" w:rsidP="00C61A89">
            <w:pPr>
              <w:pStyle w:val="Default"/>
              <w:rPr>
                <w:sz w:val="17"/>
                <w:szCs w:val="17"/>
              </w:rPr>
            </w:pPr>
            <w:r>
              <w:rPr>
                <w:sz w:val="17"/>
                <w:szCs w:val="17"/>
              </w:rPr>
              <w:t>Publish Q4 2017</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I.S. 435-3:201x - Revision</w:t>
            </w:r>
          </w:p>
        </w:tc>
        <w:tc>
          <w:tcPr>
            <w:tcW w:w="3924" w:type="dxa"/>
            <w:vAlign w:val="bottom"/>
          </w:tcPr>
          <w:p w:rsidR="00C61A89" w:rsidRPr="00424D6D" w:rsidRDefault="00C61A89" w:rsidP="00C61A89">
            <w:pPr>
              <w:pStyle w:val="Default"/>
              <w:rPr>
                <w:sz w:val="17"/>
                <w:szCs w:val="17"/>
              </w:rPr>
            </w:pPr>
            <w:r w:rsidRPr="00424D6D">
              <w:rPr>
                <w:sz w:val="17"/>
                <w:szCs w:val="17"/>
              </w:rPr>
              <w:t xml:space="preserve">Timber post and rail roadside fencing - Part 3:Erection of fencing by driving of   posts </w:t>
            </w:r>
          </w:p>
        </w:tc>
        <w:tc>
          <w:tcPr>
            <w:tcW w:w="2445" w:type="dxa"/>
          </w:tcPr>
          <w:p w:rsidR="00C61A89" w:rsidRDefault="00C61A89" w:rsidP="00C61A89">
            <w:pPr>
              <w:pStyle w:val="Default"/>
              <w:rPr>
                <w:sz w:val="17"/>
                <w:szCs w:val="17"/>
              </w:rPr>
            </w:pPr>
          </w:p>
          <w:p w:rsidR="00C61A89" w:rsidRPr="00424D6D" w:rsidRDefault="00C61A89" w:rsidP="00C61A89">
            <w:pPr>
              <w:pStyle w:val="Default"/>
              <w:rPr>
                <w:sz w:val="17"/>
                <w:szCs w:val="17"/>
              </w:rPr>
            </w:pPr>
            <w:r>
              <w:rPr>
                <w:sz w:val="17"/>
                <w:szCs w:val="17"/>
              </w:rPr>
              <w:t>Publish Q4 2017</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I.S. 440:201x - Revision</w:t>
            </w:r>
          </w:p>
        </w:tc>
        <w:tc>
          <w:tcPr>
            <w:tcW w:w="3924" w:type="dxa"/>
            <w:vAlign w:val="bottom"/>
          </w:tcPr>
          <w:p w:rsidR="00C61A89" w:rsidRDefault="00C61A89" w:rsidP="00C61A89">
            <w:pPr>
              <w:pStyle w:val="Default"/>
              <w:rPr>
                <w:sz w:val="17"/>
                <w:szCs w:val="17"/>
              </w:rPr>
            </w:pPr>
          </w:p>
          <w:p w:rsidR="00C61A89" w:rsidRPr="00424D6D" w:rsidRDefault="00C61A89" w:rsidP="00C61A89">
            <w:pPr>
              <w:pStyle w:val="Default"/>
              <w:rPr>
                <w:sz w:val="17"/>
                <w:szCs w:val="17"/>
              </w:rPr>
            </w:pPr>
            <w:r w:rsidRPr="00424D6D">
              <w:rPr>
                <w:sz w:val="17"/>
                <w:szCs w:val="17"/>
              </w:rPr>
              <w:t>Timber frame construction, dwellings and other buildings</w:t>
            </w:r>
          </w:p>
        </w:tc>
        <w:tc>
          <w:tcPr>
            <w:tcW w:w="2445" w:type="dxa"/>
          </w:tcPr>
          <w:p w:rsidR="00C61A89" w:rsidRDefault="00C61A89" w:rsidP="00C61A89">
            <w:pPr>
              <w:pStyle w:val="Default"/>
              <w:rPr>
                <w:sz w:val="17"/>
                <w:szCs w:val="17"/>
              </w:rPr>
            </w:pPr>
          </w:p>
          <w:p w:rsidR="00C61A89" w:rsidRPr="00424D6D" w:rsidRDefault="00C61A89" w:rsidP="00C61A89">
            <w:pPr>
              <w:pStyle w:val="Default"/>
              <w:rPr>
                <w:sz w:val="17"/>
                <w:szCs w:val="17"/>
              </w:rPr>
            </w:pPr>
            <w:r>
              <w:rPr>
                <w:sz w:val="17"/>
                <w:szCs w:val="17"/>
              </w:rPr>
              <w:t>Enquiry Q1 2018</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I.S. 844:201x</w:t>
            </w:r>
          </w:p>
        </w:tc>
        <w:tc>
          <w:tcPr>
            <w:tcW w:w="3924" w:type="dxa"/>
            <w:vAlign w:val="bottom"/>
          </w:tcPr>
          <w:p w:rsidR="00C61A89" w:rsidRPr="00424D6D" w:rsidRDefault="00C61A89" w:rsidP="00C61A89">
            <w:pPr>
              <w:pStyle w:val="Default"/>
              <w:rPr>
                <w:sz w:val="17"/>
                <w:szCs w:val="17"/>
              </w:rPr>
            </w:pPr>
            <w:r w:rsidRPr="00424D6D">
              <w:rPr>
                <w:sz w:val="17"/>
                <w:szCs w:val="17"/>
              </w:rPr>
              <w:t>Transportation and installation of bituminous materials for roads and other paved areas</w:t>
            </w:r>
          </w:p>
        </w:tc>
        <w:tc>
          <w:tcPr>
            <w:tcW w:w="2445" w:type="dxa"/>
          </w:tcPr>
          <w:p w:rsidR="00C61A89" w:rsidRDefault="00C61A89" w:rsidP="00C61A89">
            <w:pPr>
              <w:pStyle w:val="Default"/>
              <w:rPr>
                <w:sz w:val="17"/>
                <w:szCs w:val="17"/>
              </w:rPr>
            </w:pPr>
          </w:p>
          <w:p w:rsidR="00C61A89" w:rsidRPr="00424D6D" w:rsidRDefault="00277A93" w:rsidP="00C61A89">
            <w:pPr>
              <w:pStyle w:val="Default"/>
              <w:rPr>
                <w:sz w:val="17"/>
                <w:szCs w:val="17"/>
              </w:rPr>
            </w:pPr>
            <w:r>
              <w:rPr>
                <w:sz w:val="17"/>
                <w:szCs w:val="17"/>
              </w:rPr>
              <w:t>Enquiry Q2 2018</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S.R. 28:201x  - Revision</w:t>
            </w:r>
          </w:p>
        </w:tc>
        <w:tc>
          <w:tcPr>
            <w:tcW w:w="3924" w:type="dxa"/>
            <w:vAlign w:val="bottom"/>
          </w:tcPr>
          <w:p w:rsidR="00C61A89" w:rsidRPr="00424D6D" w:rsidRDefault="00C61A89" w:rsidP="00C61A89">
            <w:pPr>
              <w:pStyle w:val="Default"/>
              <w:rPr>
                <w:sz w:val="17"/>
                <w:szCs w:val="17"/>
              </w:rPr>
            </w:pPr>
            <w:r w:rsidRPr="00424D6D">
              <w:rPr>
                <w:sz w:val="17"/>
                <w:szCs w:val="17"/>
              </w:rPr>
              <w:t>Recommendation for the use and implementation of the I.S. EN 13108 series bituminous mixtures – material specifications</w:t>
            </w:r>
          </w:p>
        </w:tc>
        <w:tc>
          <w:tcPr>
            <w:tcW w:w="2445" w:type="dxa"/>
          </w:tcPr>
          <w:p w:rsidR="00C61A89" w:rsidRDefault="00C61A89" w:rsidP="00C61A89">
            <w:pPr>
              <w:pStyle w:val="Default"/>
              <w:rPr>
                <w:sz w:val="17"/>
                <w:szCs w:val="17"/>
              </w:rPr>
            </w:pPr>
          </w:p>
          <w:p w:rsidR="00C61A89" w:rsidRPr="00424D6D" w:rsidRDefault="00C61A89" w:rsidP="00277A93">
            <w:pPr>
              <w:pStyle w:val="Default"/>
              <w:rPr>
                <w:sz w:val="17"/>
                <w:szCs w:val="17"/>
              </w:rPr>
            </w:pPr>
            <w:r>
              <w:rPr>
                <w:sz w:val="17"/>
                <w:szCs w:val="17"/>
              </w:rPr>
              <w:t>Enquiry Q</w:t>
            </w:r>
            <w:r w:rsidR="00277A93">
              <w:rPr>
                <w:sz w:val="17"/>
                <w:szCs w:val="17"/>
              </w:rPr>
              <w:t>4</w:t>
            </w:r>
            <w:r>
              <w:rPr>
                <w:sz w:val="17"/>
                <w:szCs w:val="17"/>
              </w:rPr>
              <w:t xml:space="preserve"> 2017</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S.R. 325:2013/prA2:20</w:t>
            </w:r>
            <w:r>
              <w:rPr>
                <w:sz w:val="17"/>
                <w:szCs w:val="17"/>
              </w:rPr>
              <w:t>1</w:t>
            </w:r>
            <w:r w:rsidRPr="00424D6D">
              <w:rPr>
                <w:sz w:val="17"/>
                <w:szCs w:val="17"/>
              </w:rPr>
              <w:t>x</w:t>
            </w:r>
          </w:p>
        </w:tc>
        <w:tc>
          <w:tcPr>
            <w:tcW w:w="3924" w:type="dxa"/>
            <w:vAlign w:val="bottom"/>
          </w:tcPr>
          <w:p w:rsidR="00C61A89" w:rsidRPr="00424D6D" w:rsidRDefault="00C61A89" w:rsidP="00C61A89">
            <w:pPr>
              <w:pStyle w:val="Default"/>
              <w:rPr>
                <w:sz w:val="17"/>
                <w:szCs w:val="17"/>
              </w:rPr>
            </w:pPr>
            <w:r w:rsidRPr="00424D6D">
              <w:rPr>
                <w:sz w:val="17"/>
                <w:szCs w:val="17"/>
              </w:rPr>
              <w:t>Recommendations for the design of masonry structures in Ireland to Eurocode 6</w:t>
            </w:r>
          </w:p>
        </w:tc>
        <w:tc>
          <w:tcPr>
            <w:tcW w:w="2445" w:type="dxa"/>
          </w:tcPr>
          <w:p w:rsidR="00C61A89" w:rsidRDefault="00C61A89" w:rsidP="00C61A89">
            <w:pPr>
              <w:pStyle w:val="Default"/>
              <w:rPr>
                <w:sz w:val="17"/>
                <w:szCs w:val="17"/>
              </w:rPr>
            </w:pPr>
          </w:p>
          <w:p w:rsidR="00C61A89" w:rsidRPr="00424D6D" w:rsidRDefault="00C61A89" w:rsidP="00C61A89">
            <w:pPr>
              <w:pStyle w:val="Default"/>
              <w:rPr>
                <w:sz w:val="17"/>
                <w:szCs w:val="17"/>
              </w:rPr>
            </w:pPr>
            <w:r>
              <w:rPr>
                <w:sz w:val="17"/>
                <w:szCs w:val="17"/>
              </w:rPr>
              <w:t>Enquiry (2</w:t>
            </w:r>
            <w:r w:rsidRPr="00F86328">
              <w:rPr>
                <w:sz w:val="17"/>
                <w:szCs w:val="17"/>
                <w:vertAlign w:val="superscript"/>
              </w:rPr>
              <w:t>nd</w:t>
            </w:r>
            <w:r>
              <w:rPr>
                <w:sz w:val="17"/>
                <w:szCs w:val="17"/>
              </w:rPr>
              <w:t>) Q3 2017</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S.R. 50-1:201x</w:t>
            </w:r>
          </w:p>
        </w:tc>
        <w:tc>
          <w:tcPr>
            <w:tcW w:w="3924" w:type="dxa"/>
            <w:vAlign w:val="bottom"/>
          </w:tcPr>
          <w:p w:rsidR="00C61A89" w:rsidRPr="00424D6D" w:rsidRDefault="00C61A89" w:rsidP="00C61A89">
            <w:pPr>
              <w:pStyle w:val="Default"/>
              <w:rPr>
                <w:sz w:val="17"/>
                <w:szCs w:val="17"/>
              </w:rPr>
            </w:pPr>
            <w:r w:rsidRPr="00424D6D">
              <w:rPr>
                <w:sz w:val="17"/>
                <w:szCs w:val="17"/>
              </w:rPr>
              <w:t>Building services - Code of Practice - Part 1: Water based heating systems in dwellings</w:t>
            </w:r>
          </w:p>
        </w:tc>
        <w:tc>
          <w:tcPr>
            <w:tcW w:w="2445" w:type="dxa"/>
          </w:tcPr>
          <w:p w:rsidR="00C61A89" w:rsidRDefault="00C61A89" w:rsidP="00C61A89">
            <w:pPr>
              <w:pStyle w:val="Default"/>
              <w:rPr>
                <w:sz w:val="17"/>
                <w:szCs w:val="17"/>
              </w:rPr>
            </w:pPr>
          </w:p>
          <w:p w:rsidR="00C61A89" w:rsidRPr="00424D6D" w:rsidRDefault="00C61A89" w:rsidP="00C61A89">
            <w:pPr>
              <w:pStyle w:val="Default"/>
              <w:rPr>
                <w:sz w:val="17"/>
                <w:szCs w:val="17"/>
              </w:rPr>
            </w:pPr>
            <w:r>
              <w:rPr>
                <w:sz w:val="17"/>
                <w:szCs w:val="17"/>
              </w:rPr>
              <w:t>Enquiry Q3 2018</w:t>
            </w:r>
          </w:p>
        </w:tc>
      </w:tr>
      <w:tr w:rsidR="00C61A89" w:rsidTr="008B0D07">
        <w:tc>
          <w:tcPr>
            <w:tcW w:w="2647" w:type="dxa"/>
            <w:vAlign w:val="bottom"/>
          </w:tcPr>
          <w:p w:rsidR="00C61A89" w:rsidRPr="00424D6D" w:rsidRDefault="00C61A89" w:rsidP="00C61A89">
            <w:pPr>
              <w:pStyle w:val="Default"/>
              <w:rPr>
                <w:sz w:val="17"/>
                <w:szCs w:val="17"/>
              </w:rPr>
            </w:pPr>
            <w:r w:rsidRPr="00424D6D">
              <w:rPr>
                <w:sz w:val="17"/>
                <w:szCs w:val="17"/>
              </w:rPr>
              <w:t>S.R. 50-3:201x</w:t>
            </w:r>
          </w:p>
        </w:tc>
        <w:tc>
          <w:tcPr>
            <w:tcW w:w="3924" w:type="dxa"/>
            <w:vAlign w:val="bottom"/>
          </w:tcPr>
          <w:p w:rsidR="00C61A89" w:rsidRPr="00424D6D" w:rsidRDefault="00C61A89" w:rsidP="00C61A89">
            <w:pPr>
              <w:pStyle w:val="Default"/>
              <w:rPr>
                <w:sz w:val="17"/>
                <w:szCs w:val="17"/>
              </w:rPr>
            </w:pPr>
            <w:r w:rsidRPr="00424D6D">
              <w:rPr>
                <w:sz w:val="17"/>
                <w:szCs w:val="17"/>
              </w:rPr>
              <w:t>Code of practice for building services - Part 3 - Hot and cold water supply for dwellings</w:t>
            </w:r>
          </w:p>
        </w:tc>
        <w:tc>
          <w:tcPr>
            <w:tcW w:w="2445" w:type="dxa"/>
          </w:tcPr>
          <w:p w:rsidR="00C61A89" w:rsidRDefault="00C61A89" w:rsidP="00C61A89">
            <w:pPr>
              <w:pStyle w:val="Default"/>
              <w:rPr>
                <w:sz w:val="17"/>
                <w:szCs w:val="17"/>
              </w:rPr>
            </w:pPr>
          </w:p>
          <w:p w:rsidR="00C61A89" w:rsidRPr="00424D6D" w:rsidRDefault="00C61A89" w:rsidP="00C61A89">
            <w:pPr>
              <w:pStyle w:val="Default"/>
              <w:rPr>
                <w:sz w:val="17"/>
                <w:szCs w:val="17"/>
              </w:rPr>
            </w:pPr>
            <w:r>
              <w:rPr>
                <w:sz w:val="17"/>
                <w:szCs w:val="17"/>
              </w:rPr>
              <w:t>Enquiry Q3 2017</w:t>
            </w:r>
          </w:p>
        </w:tc>
      </w:tr>
      <w:tr w:rsidR="00C61A89" w:rsidTr="008B0D07">
        <w:tc>
          <w:tcPr>
            <w:tcW w:w="2647" w:type="dxa"/>
            <w:vAlign w:val="bottom"/>
          </w:tcPr>
          <w:p w:rsidR="00C61A89" w:rsidRDefault="00C61A89" w:rsidP="00C61A89">
            <w:pPr>
              <w:pStyle w:val="Default"/>
              <w:rPr>
                <w:sz w:val="17"/>
                <w:szCs w:val="17"/>
              </w:rPr>
            </w:pPr>
          </w:p>
          <w:p w:rsidR="00C61A89" w:rsidRPr="00424D6D" w:rsidRDefault="00C61A89" w:rsidP="00C61A89">
            <w:pPr>
              <w:pStyle w:val="Default"/>
              <w:rPr>
                <w:sz w:val="17"/>
                <w:szCs w:val="17"/>
              </w:rPr>
            </w:pPr>
            <w:r w:rsidRPr="00424D6D">
              <w:rPr>
                <w:sz w:val="17"/>
                <w:szCs w:val="17"/>
              </w:rPr>
              <w:t>I.S. 10101:201x</w:t>
            </w:r>
          </w:p>
        </w:tc>
        <w:tc>
          <w:tcPr>
            <w:tcW w:w="3924" w:type="dxa"/>
            <w:vAlign w:val="bottom"/>
          </w:tcPr>
          <w:p w:rsidR="00C61A89" w:rsidRPr="00424D6D" w:rsidRDefault="00C61A89" w:rsidP="00C61A89">
            <w:pPr>
              <w:pStyle w:val="Default"/>
              <w:rPr>
                <w:sz w:val="17"/>
                <w:szCs w:val="17"/>
              </w:rPr>
            </w:pPr>
            <w:r w:rsidRPr="00424D6D">
              <w:rPr>
                <w:sz w:val="17"/>
                <w:szCs w:val="17"/>
              </w:rPr>
              <w:t>National Rules for Electrical Installations (Revision of ET 101:2008)</w:t>
            </w:r>
          </w:p>
        </w:tc>
        <w:tc>
          <w:tcPr>
            <w:tcW w:w="2445" w:type="dxa"/>
          </w:tcPr>
          <w:p w:rsidR="00C61A89" w:rsidRDefault="00C61A89" w:rsidP="00C61A89">
            <w:pPr>
              <w:pStyle w:val="Default"/>
              <w:rPr>
                <w:sz w:val="17"/>
                <w:szCs w:val="17"/>
              </w:rPr>
            </w:pPr>
          </w:p>
          <w:p w:rsidR="00C61A89" w:rsidRPr="00424D6D" w:rsidRDefault="00C61A89" w:rsidP="00C61A89">
            <w:pPr>
              <w:pStyle w:val="Default"/>
              <w:rPr>
                <w:sz w:val="17"/>
                <w:szCs w:val="17"/>
              </w:rPr>
            </w:pPr>
            <w:r>
              <w:rPr>
                <w:sz w:val="17"/>
                <w:szCs w:val="17"/>
              </w:rPr>
              <w:t>Enquiry Q4 2018</w:t>
            </w:r>
          </w:p>
        </w:tc>
      </w:tr>
      <w:tr w:rsidR="00C61A89" w:rsidTr="008B0D07">
        <w:tc>
          <w:tcPr>
            <w:tcW w:w="2647" w:type="dxa"/>
            <w:vAlign w:val="bottom"/>
          </w:tcPr>
          <w:p w:rsidR="00C61A89" w:rsidRDefault="00C61A89" w:rsidP="00C61A89">
            <w:pPr>
              <w:pStyle w:val="Default"/>
              <w:rPr>
                <w:sz w:val="17"/>
                <w:szCs w:val="17"/>
              </w:rPr>
            </w:pPr>
          </w:p>
          <w:p w:rsidR="00C61A89" w:rsidRPr="00424D6D" w:rsidRDefault="00C61A89" w:rsidP="00C61A89">
            <w:pPr>
              <w:pStyle w:val="Default"/>
              <w:rPr>
                <w:sz w:val="17"/>
                <w:szCs w:val="17"/>
              </w:rPr>
            </w:pPr>
            <w:r w:rsidRPr="00424D6D">
              <w:rPr>
                <w:sz w:val="17"/>
                <w:szCs w:val="17"/>
              </w:rPr>
              <w:t>I.S. 820:201x</w:t>
            </w:r>
          </w:p>
        </w:tc>
        <w:tc>
          <w:tcPr>
            <w:tcW w:w="3924" w:type="dxa"/>
            <w:vAlign w:val="bottom"/>
          </w:tcPr>
          <w:p w:rsidR="00C61A89" w:rsidRPr="00424D6D" w:rsidRDefault="00C61A89" w:rsidP="00C61A89">
            <w:pPr>
              <w:pStyle w:val="Default"/>
              <w:rPr>
                <w:sz w:val="17"/>
                <w:szCs w:val="17"/>
              </w:rPr>
            </w:pPr>
            <w:r w:rsidRPr="00424D6D">
              <w:rPr>
                <w:sz w:val="17"/>
                <w:szCs w:val="17"/>
              </w:rPr>
              <w:t>Non-domestic gas installations (Edition 3)</w:t>
            </w:r>
          </w:p>
        </w:tc>
        <w:tc>
          <w:tcPr>
            <w:tcW w:w="2445" w:type="dxa"/>
          </w:tcPr>
          <w:p w:rsidR="00277A93" w:rsidRDefault="00277A93" w:rsidP="00C61A89">
            <w:pPr>
              <w:pStyle w:val="Default"/>
              <w:rPr>
                <w:sz w:val="17"/>
                <w:szCs w:val="17"/>
              </w:rPr>
            </w:pPr>
          </w:p>
          <w:p w:rsidR="00C61A89" w:rsidRDefault="00277A93" w:rsidP="00C61A89">
            <w:pPr>
              <w:pStyle w:val="Default"/>
              <w:rPr>
                <w:sz w:val="17"/>
                <w:szCs w:val="17"/>
              </w:rPr>
            </w:pPr>
            <w:r>
              <w:rPr>
                <w:sz w:val="17"/>
                <w:szCs w:val="17"/>
              </w:rPr>
              <w:t>Enquiry Q4 2017</w:t>
            </w:r>
          </w:p>
        </w:tc>
      </w:tr>
    </w:tbl>
    <w:p w:rsidR="00721F45" w:rsidRDefault="00721F45" w:rsidP="00424D6D">
      <w:pPr>
        <w:pStyle w:val="Default"/>
        <w:rPr>
          <w:sz w:val="17"/>
          <w:szCs w:val="17"/>
        </w:rPr>
      </w:pPr>
    </w:p>
    <w:p w:rsidR="00277A93" w:rsidRPr="00424D6D" w:rsidRDefault="00277A93" w:rsidP="00424D6D">
      <w:pPr>
        <w:pStyle w:val="Default"/>
        <w:rPr>
          <w:sz w:val="17"/>
          <w:szCs w:val="17"/>
        </w:rPr>
      </w:pPr>
    </w:p>
    <w:sectPr w:rsidR="00277A93" w:rsidRPr="00424D6D" w:rsidSect="00480A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0C" w:rsidRDefault="00DF420C" w:rsidP="00183D30">
      <w:pPr>
        <w:spacing w:after="0" w:line="240" w:lineRule="auto"/>
      </w:pPr>
      <w:r>
        <w:separator/>
      </w:r>
    </w:p>
  </w:endnote>
  <w:endnote w:type="continuationSeparator" w:id="0">
    <w:p w:rsidR="00DF420C" w:rsidRDefault="00DF420C" w:rsidP="0018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66" w:rsidRDefault="00DB1566" w:rsidP="00DB1566">
    <w:pPr>
      <w:pStyle w:val="Default"/>
      <w:jc w:val="center"/>
      <w:rPr>
        <w:rStyle w:val="Hyperlink"/>
        <w:b/>
        <w:sz w:val="16"/>
        <w:szCs w:val="21"/>
      </w:rPr>
    </w:pPr>
    <w:r w:rsidRPr="00721F45">
      <w:rPr>
        <w:b/>
        <w:sz w:val="16"/>
        <w:szCs w:val="21"/>
      </w:rPr>
      <w:t>THIS INFORMATION IS CURRENT AT TIME OF PUBLICATION</w:t>
    </w:r>
    <w:r>
      <w:rPr>
        <w:b/>
        <w:sz w:val="16"/>
        <w:szCs w:val="21"/>
      </w:rPr>
      <w:t xml:space="preserve">.  </w:t>
    </w:r>
    <w:r w:rsidRPr="00721F45">
      <w:rPr>
        <w:b/>
        <w:sz w:val="16"/>
        <w:szCs w:val="21"/>
      </w:rPr>
      <w:t xml:space="preserve"> FOR CURRENT </w:t>
    </w:r>
    <w:r>
      <w:rPr>
        <w:b/>
        <w:sz w:val="16"/>
        <w:szCs w:val="21"/>
      </w:rPr>
      <w:t xml:space="preserve">NSAI </w:t>
    </w:r>
    <w:r w:rsidRPr="00721F45">
      <w:rPr>
        <w:b/>
        <w:sz w:val="16"/>
        <w:szCs w:val="21"/>
      </w:rPr>
      <w:t>WO</w:t>
    </w:r>
    <w:r>
      <w:rPr>
        <w:b/>
        <w:sz w:val="16"/>
        <w:szCs w:val="21"/>
      </w:rPr>
      <w:t>R</w:t>
    </w:r>
    <w:r w:rsidRPr="00721F45">
      <w:rPr>
        <w:b/>
        <w:sz w:val="16"/>
        <w:szCs w:val="21"/>
      </w:rPr>
      <w:t xml:space="preserve">K PROGRAMME SEE </w:t>
    </w:r>
    <w:r>
      <w:rPr>
        <w:b/>
        <w:sz w:val="16"/>
        <w:szCs w:val="21"/>
      </w:rPr>
      <w:t>www.nsai./ie;</w:t>
    </w:r>
    <w:r w:rsidRPr="00721F45">
      <w:rPr>
        <w:b/>
        <w:sz w:val="16"/>
        <w:szCs w:val="21"/>
      </w:rPr>
      <w:t xml:space="preserve">STANDARDS </w:t>
    </w:r>
    <w:r>
      <w:rPr>
        <w:b/>
        <w:sz w:val="16"/>
        <w:szCs w:val="21"/>
      </w:rPr>
      <w:t xml:space="preserve">may be purchased at </w:t>
    </w:r>
    <w:hyperlink r:id="rId1" w:history="1">
      <w:r w:rsidRPr="00721F45">
        <w:rPr>
          <w:rStyle w:val="Hyperlink"/>
          <w:b/>
          <w:sz w:val="16"/>
          <w:szCs w:val="21"/>
        </w:rPr>
        <w:t>WWW.STANDARDS.IE</w:t>
      </w:r>
    </w:hyperlink>
    <w:r>
      <w:rPr>
        <w:rStyle w:val="Hyperlink"/>
        <w:b/>
        <w:sz w:val="16"/>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0C" w:rsidRDefault="00DF420C" w:rsidP="00183D30">
      <w:pPr>
        <w:spacing w:after="0" w:line="240" w:lineRule="auto"/>
      </w:pPr>
      <w:r>
        <w:separator/>
      </w:r>
    </w:p>
  </w:footnote>
  <w:footnote w:type="continuationSeparator" w:id="0">
    <w:p w:rsidR="00DF420C" w:rsidRDefault="00DF420C" w:rsidP="00183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BB"/>
    <w:rsid w:val="00016AAF"/>
    <w:rsid w:val="00153FE9"/>
    <w:rsid w:val="00183D30"/>
    <w:rsid w:val="001A28EE"/>
    <w:rsid w:val="001B3E5D"/>
    <w:rsid w:val="001C2BB4"/>
    <w:rsid w:val="001C5C41"/>
    <w:rsid w:val="00277A93"/>
    <w:rsid w:val="002A18A4"/>
    <w:rsid w:val="002B4891"/>
    <w:rsid w:val="00331B75"/>
    <w:rsid w:val="003D3D0F"/>
    <w:rsid w:val="00404FCF"/>
    <w:rsid w:val="00424D6D"/>
    <w:rsid w:val="00432FAF"/>
    <w:rsid w:val="00480AFB"/>
    <w:rsid w:val="004D58F4"/>
    <w:rsid w:val="005417C5"/>
    <w:rsid w:val="0059444B"/>
    <w:rsid w:val="00630E39"/>
    <w:rsid w:val="0064001E"/>
    <w:rsid w:val="00721F45"/>
    <w:rsid w:val="00756C7D"/>
    <w:rsid w:val="00795605"/>
    <w:rsid w:val="00803577"/>
    <w:rsid w:val="00874F89"/>
    <w:rsid w:val="008B0D07"/>
    <w:rsid w:val="008D4174"/>
    <w:rsid w:val="009A1369"/>
    <w:rsid w:val="009C73ED"/>
    <w:rsid w:val="009F765B"/>
    <w:rsid w:val="00AF22F5"/>
    <w:rsid w:val="00B119B4"/>
    <w:rsid w:val="00B33CAE"/>
    <w:rsid w:val="00B71E7B"/>
    <w:rsid w:val="00C61A89"/>
    <w:rsid w:val="00CA07A7"/>
    <w:rsid w:val="00CA0ADE"/>
    <w:rsid w:val="00CE50CA"/>
    <w:rsid w:val="00CF51E2"/>
    <w:rsid w:val="00D77EF5"/>
    <w:rsid w:val="00DB1566"/>
    <w:rsid w:val="00DB2937"/>
    <w:rsid w:val="00DF420C"/>
    <w:rsid w:val="00E412BB"/>
    <w:rsid w:val="00E42FD0"/>
    <w:rsid w:val="00E51CAE"/>
    <w:rsid w:val="00E8740B"/>
    <w:rsid w:val="00ED36F3"/>
    <w:rsid w:val="00F217CC"/>
    <w:rsid w:val="00F47D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E4A93-3A7C-4DAB-B4F9-0511D9B1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12BB"/>
    <w:pPr>
      <w:spacing w:after="160" w:line="259" w:lineRule="auto"/>
    </w:pPr>
    <w:rPr>
      <w:rFonts w:asciiTheme="minorHAnsi" w:eastAsiaTheme="minorEastAsia" w:hAnsiTheme="minorHAns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2BB"/>
    <w:pPr>
      <w:widowControl w:val="0"/>
      <w:autoSpaceDE w:val="0"/>
      <w:autoSpaceDN w:val="0"/>
      <w:adjustRightInd w:val="0"/>
      <w:spacing w:after="0" w:line="240" w:lineRule="auto"/>
    </w:pPr>
    <w:rPr>
      <w:rFonts w:eastAsiaTheme="minorEastAsia" w:cs="Verdana"/>
      <w:color w:val="000000"/>
      <w:sz w:val="24"/>
      <w:szCs w:val="24"/>
      <w:lang w:eastAsia="en-IE"/>
    </w:rPr>
  </w:style>
  <w:style w:type="paragraph" w:styleId="FootnoteText">
    <w:name w:val="footnote text"/>
    <w:basedOn w:val="Normal"/>
    <w:link w:val="FootnoteTextChar"/>
    <w:uiPriority w:val="99"/>
    <w:semiHidden/>
    <w:unhideWhenUsed/>
    <w:rsid w:val="00183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D30"/>
    <w:rPr>
      <w:rFonts w:asciiTheme="minorHAnsi" w:eastAsiaTheme="minorEastAsia" w:hAnsiTheme="minorHAnsi" w:cs="Times New Roman"/>
      <w:sz w:val="20"/>
      <w:szCs w:val="20"/>
      <w:lang w:eastAsia="en-IE"/>
    </w:rPr>
  </w:style>
  <w:style w:type="character" w:styleId="FootnoteReference">
    <w:name w:val="footnote reference"/>
    <w:basedOn w:val="DefaultParagraphFont"/>
    <w:uiPriority w:val="99"/>
    <w:semiHidden/>
    <w:unhideWhenUsed/>
    <w:rsid w:val="00183D30"/>
    <w:rPr>
      <w:vertAlign w:val="superscript"/>
    </w:rPr>
  </w:style>
  <w:style w:type="paragraph" w:styleId="Header">
    <w:name w:val="header"/>
    <w:basedOn w:val="Normal"/>
    <w:link w:val="HeaderChar"/>
    <w:uiPriority w:val="99"/>
    <w:unhideWhenUsed/>
    <w:rsid w:val="00E42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FD0"/>
    <w:rPr>
      <w:rFonts w:asciiTheme="minorHAnsi" w:eastAsiaTheme="minorEastAsia" w:hAnsiTheme="minorHAnsi" w:cs="Times New Roman"/>
      <w:lang w:eastAsia="en-IE"/>
    </w:rPr>
  </w:style>
  <w:style w:type="paragraph" w:styleId="Footer">
    <w:name w:val="footer"/>
    <w:basedOn w:val="Normal"/>
    <w:link w:val="FooterChar"/>
    <w:uiPriority w:val="99"/>
    <w:unhideWhenUsed/>
    <w:rsid w:val="00E42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FD0"/>
    <w:rPr>
      <w:rFonts w:asciiTheme="minorHAnsi" w:eastAsiaTheme="minorEastAsia" w:hAnsiTheme="minorHAnsi" w:cs="Times New Roman"/>
      <w:lang w:eastAsia="en-IE"/>
    </w:rPr>
  </w:style>
  <w:style w:type="paragraph" w:styleId="BalloonText">
    <w:name w:val="Balloon Text"/>
    <w:basedOn w:val="Normal"/>
    <w:link w:val="BalloonTextChar"/>
    <w:uiPriority w:val="99"/>
    <w:semiHidden/>
    <w:unhideWhenUsed/>
    <w:rsid w:val="00E42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D0"/>
    <w:rPr>
      <w:rFonts w:ascii="Tahoma" w:eastAsiaTheme="minorEastAsia" w:hAnsi="Tahoma" w:cs="Tahoma"/>
      <w:sz w:val="16"/>
      <w:szCs w:val="16"/>
      <w:lang w:eastAsia="en-IE"/>
    </w:rPr>
  </w:style>
  <w:style w:type="character" w:styleId="Hyperlink">
    <w:name w:val="Hyperlink"/>
    <w:basedOn w:val="DefaultParagraphFont"/>
    <w:uiPriority w:val="99"/>
    <w:unhideWhenUsed/>
    <w:rsid w:val="00432FAF"/>
    <w:rPr>
      <w:color w:val="0000FF" w:themeColor="hyperlink"/>
      <w:u w:val="single"/>
    </w:rPr>
  </w:style>
  <w:style w:type="table" w:styleId="TableGrid">
    <w:name w:val="Table Grid"/>
    <w:basedOn w:val="TableNormal"/>
    <w:uiPriority w:val="59"/>
    <w:rsid w:val="0063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D41"/>
    <w:rPr>
      <w:color w:val="800080" w:themeColor="followedHyperlink"/>
      <w:u w:val="single"/>
    </w:rPr>
  </w:style>
  <w:style w:type="paragraph" w:styleId="NormalWeb">
    <w:name w:val="Normal (Web)"/>
    <w:basedOn w:val="Normal"/>
    <w:uiPriority w:val="99"/>
    <w:semiHidden/>
    <w:unhideWhenUsed/>
    <w:rsid w:val="00277A9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470">
      <w:bodyDiv w:val="1"/>
      <w:marLeft w:val="0"/>
      <w:marRight w:val="0"/>
      <w:marTop w:val="0"/>
      <w:marBottom w:val="0"/>
      <w:divBdr>
        <w:top w:val="none" w:sz="0" w:space="0" w:color="auto"/>
        <w:left w:val="none" w:sz="0" w:space="0" w:color="auto"/>
        <w:bottom w:val="none" w:sz="0" w:space="0" w:color="auto"/>
        <w:right w:val="none" w:sz="0" w:space="0" w:color="auto"/>
      </w:divBdr>
    </w:div>
    <w:div w:id="1467619533">
      <w:bodyDiv w:val="1"/>
      <w:marLeft w:val="0"/>
      <w:marRight w:val="0"/>
      <w:marTop w:val="0"/>
      <w:marBottom w:val="0"/>
      <w:divBdr>
        <w:top w:val="none" w:sz="0" w:space="0" w:color="auto"/>
        <w:left w:val="none" w:sz="0" w:space="0" w:color="auto"/>
        <w:bottom w:val="none" w:sz="0" w:space="0" w:color="auto"/>
        <w:right w:val="none" w:sz="0" w:space="0" w:color="auto"/>
      </w:divBdr>
    </w:div>
    <w:div w:id="1616206327">
      <w:bodyDiv w:val="1"/>
      <w:marLeft w:val="0"/>
      <w:marRight w:val="0"/>
      <w:marTop w:val="0"/>
      <w:marBottom w:val="0"/>
      <w:divBdr>
        <w:top w:val="none" w:sz="0" w:space="0" w:color="auto"/>
        <w:left w:val="none" w:sz="0" w:space="0" w:color="auto"/>
        <w:bottom w:val="none" w:sz="0" w:space="0" w:color="auto"/>
        <w:right w:val="none" w:sz="0" w:space="0" w:color="auto"/>
      </w:divBdr>
    </w:div>
    <w:div w:id="2035302782">
      <w:bodyDiv w:val="1"/>
      <w:marLeft w:val="0"/>
      <w:marRight w:val="0"/>
      <w:marTop w:val="0"/>
      <w:marBottom w:val="0"/>
      <w:divBdr>
        <w:top w:val="none" w:sz="0" w:space="0" w:color="auto"/>
        <w:left w:val="none" w:sz="0" w:space="0" w:color="auto"/>
        <w:bottom w:val="none" w:sz="0" w:space="0" w:color="auto"/>
        <w:right w:val="none" w:sz="0" w:space="0" w:color="auto"/>
      </w:divBdr>
    </w:div>
    <w:div w:id="2045321511">
      <w:bodyDiv w:val="1"/>
      <w:marLeft w:val="0"/>
      <w:marRight w:val="0"/>
      <w:marTop w:val="0"/>
      <w:marBottom w:val="0"/>
      <w:divBdr>
        <w:top w:val="none" w:sz="0" w:space="0" w:color="auto"/>
        <w:left w:val="none" w:sz="0" w:space="0" w:color="auto"/>
        <w:bottom w:val="none" w:sz="0" w:space="0" w:color="auto"/>
        <w:right w:val="none" w:sz="0" w:space="0" w:color="auto"/>
      </w:divBdr>
    </w:div>
    <w:div w:id="2111388801">
      <w:bodyDiv w:val="1"/>
      <w:marLeft w:val="0"/>
      <w:marRight w:val="0"/>
      <w:marTop w:val="0"/>
      <w:marBottom w:val="0"/>
      <w:divBdr>
        <w:top w:val="none" w:sz="0" w:space="0" w:color="auto"/>
        <w:left w:val="none" w:sz="0" w:space="0" w:color="auto"/>
        <w:bottom w:val="none" w:sz="0" w:space="0" w:color="auto"/>
        <w:right w:val="none" w:sz="0" w:space="0" w:color="auto"/>
      </w:divBdr>
    </w:div>
    <w:div w:id="21419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ai.ie/NSAI/files/5c/5c735164-90fe-403c-b4b7-db868534810d.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ANDARD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CEBD-42E0-4F54-AC4C-4E22C2DC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Wylde</dc:creator>
  <cp:lastModifiedBy>Victoria Ryan</cp:lastModifiedBy>
  <cp:revision>2</cp:revision>
  <cp:lastPrinted>2017-06-13T09:39:00Z</cp:lastPrinted>
  <dcterms:created xsi:type="dcterms:W3CDTF">2018-06-20T14:07:00Z</dcterms:created>
  <dcterms:modified xsi:type="dcterms:W3CDTF">2018-06-20T14:07:00Z</dcterms:modified>
</cp:coreProperties>
</file>