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3"/>
        <w:tblW w:w="9372" w:type="dxa"/>
        <w:tblInd w:w="2" w:type="dxa"/>
        <w:tblLook w:val="04A0" w:firstRow="1" w:lastRow="0" w:firstColumn="1" w:lastColumn="0" w:noHBand="0" w:noVBand="1"/>
      </w:tblPr>
      <w:tblGrid>
        <w:gridCol w:w="3400"/>
        <w:gridCol w:w="5972"/>
      </w:tblGrid>
      <w:tr w:rsidR="001F7E6B" w:rsidTr="001A6C6B">
        <w:trPr>
          <w:cnfStyle w:val="100000000000" w:firstRow="1" w:lastRow="0" w:firstColumn="0" w:lastColumn="0" w:oddVBand="0" w:evenVBand="0" w:oddHBand="0" w:evenHBand="0" w:firstRowFirstColumn="0" w:firstRowLastColumn="0" w:lastRowFirstColumn="0" w:lastRowLastColumn="0"/>
          <w:trHeight w:val="851"/>
        </w:trPr>
        <w:tc>
          <w:tcPr>
            <w:cnfStyle w:val="001000000100" w:firstRow="0" w:lastRow="0" w:firstColumn="1" w:lastColumn="0" w:oddVBand="0" w:evenVBand="0" w:oddHBand="0" w:evenHBand="0" w:firstRowFirstColumn="1" w:firstRowLastColumn="0" w:lastRowFirstColumn="0" w:lastRowLastColumn="0"/>
            <w:tcW w:w="9372" w:type="dxa"/>
            <w:gridSpan w:val="2"/>
          </w:tcPr>
          <w:p w:rsidR="001F7E6B" w:rsidRPr="00CA754B" w:rsidRDefault="00CA754B" w:rsidP="00CA754B">
            <w:pPr>
              <w:tabs>
                <w:tab w:val="num" w:pos="0"/>
              </w:tabs>
              <w:spacing w:line="276" w:lineRule="auto"/>
              <w:jc w:val="center"/>
              <w:rPr>
                <w:sz w:val="24"/>
              </w:rPr>
            </w:pPr>
            <w:r>
              <w:rPr>
                <w:sz w:val="24"/>
              </w:rPr>
              <w:t>NSAI would like to invite applications for the following position</w:t>
            </w:r>
          </w:p>
        </w:tc>
      </w:tr>
      <w:tr w:rsidR="001D75BA" w:rsidTr="002D05BF">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400" w:type="dxa"/>
          </w:tcPr>
          <w:p w:rsidR="001D75BA" w:rsidRDefault="001D75BA" w:rsidP="00AC08C7">
            <w:pPr>
              <w:tabs>
                <w:tab w:val="num" w:pos="0"/>
              </w:tabs>
              <w:spacing w:line="276" w:lineRule="auto"/>
            </w:pPr>
            <w:r>
              <w:t xml:space="preserve">Job title: </w:t>
            </w:r>
          </w:p>
        </w:tc>
        <w:tc>
          <w:tcPr>
            <w:tcW w:w="5972" w:type="dxa"/>
          </w:tcPr>
          <w:p w:rsidR="001D75BA" w:rsidRPr="0039069C" w:rsidRDefault="00326704" w:rsidP="00AC08C7">
            <w:pPr>
              <w:tabs>
                <w:tab w:val="num" w:pos="0"/>
              </w:tabs>
              <w:spacing w:line="276" w:lineRule="auto"/>
              <w:cnfStyle w:val="000000100000" w:firstRow="0" w:lastRow="0" w:firstColumn="0" w:lastColumn="0" w:oddVBand="0" w:evenVBand="0" w:oddHBand="1" w:evenHBand="0" w:firstRowFirstColumn="0" w:firstRowLastColumn="0" w:lastRowFirstColumn="0" w:lastRowLastColumn="0"/>
            </w:pPr>
            <w:r>
              <w:rPr>
                <w:szCs w:val="24"/>
              </w:rPr>
              <w:t xml:space="preserve">European Operations Manager </w:t>
            </w:r>
          </w:p>
        </w:tc>
      </w:tr>
      <w:tr w:rsidR="001D75BA" w:rsidTr="002D05BF">
        <w:trPr>
          <w:trHeight w:val="440"/>
        </w:trPr>
        <w:tc>
          <w:tcPr>
            <w:cnfStyle w:val="001000000000" w:firstRow="0" w:lastRow="0" w:firstColumn="1" w:lastColumn="0" w:oddVBand="0" w:evenVBand="0" w:oddHBand="0" w:evenHBand="0" w:firstRowFirstColumn="0" w:firstRowLastColumn="0" w:lastRowFirstColumn="0" w:lastRowLastColumn="0"/>
            <w:tcW w:w="3400" w:type="dxa"/>
          </w:tcPr>
          <w:p w:rsidR="001D75BA" w:rsidRDefault="001D75BA" w:rsidP="00AC08C7">
            <w:pPr>
              <w:tabs>
                <w:tab w:val="num" w:pos="0"/>
              </w:tabs>
              <w:spacing w:line="276" w:lineRule="auto"/>
            </w:pPr>
            <w:r>
              <w:t xml:space="preserve">Division: </w:t>
            </w:r>
          </w:p>
        </w:tc>
        <w:tc>
          <w:tcPr>
            <w:tcW w:w="5972" w:type="dxa"/>
          </w:tcPr>
          <w:p w:rsidR="001D75BA" w:rsidRPr="0039069C" w:rsidRDefault="00345BF0" w:rsidP="00AC08C7">
            <w:pPr>
              <w:tabs>
                <w:tab w:val="num" w:pos="0"/>
              </w:tabs>
              <w:spacing w:line="276" w:lineRule="auto"/>
              <w:cnfStyle w:val="000000000000" w:firstRow="0" w:lastRow="0" w:firstColumn="0" w:lastColumn="0" w:oddVBand="0" w:evenVBand="0" w:oddHBand="0" w:evenHBand="0" w:firstRowFirstColumn="0" w:firstRowLastColumn="0" w:lastRowFirstColumn="0" w:lastRowLastColumn="0"/>
            </w:pPr>
            <w:r>
              <w:t xml:space="preserve">Medical devices </w:t>
            </w:r>
          </w:p>
        </w:tc>
      </w:tr>
      <w:tr w:rsidR="001D75BA" w:rsidTr="002D05BF">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400" w:type="dxa"/>
          </w:tcPr>
          <w:p w:rsidR="001D75BA" w:rsidRPr="00453160" w:rsidRDefault="00933BDE" w:rsidP="00AC08C7">
            <w:pPr>
              <w:tabs>
                <w:tab w:val="num" w:pos="0"/>
              </w:tabs>
              <w:spacing w:line="276" w:lineRule="auto"/>
            </w:pPr>
            <w:r>
              <w:t>Updated:</w:t>
            </w:r>
          </w:p>
        </w:tc>
        <w:tc>
          <w:tcPr>
            <w:tcW w:w="5972" w:type="dxa"/>
          </w:tcPr>
          <w:p w:rsidR="001D75BA" w:rsidRPr="0039069C" w:rsidRDefault="00592431" w:rsidP="00464B5F">
            <w:pPr>
              <w:tabs>
                <w:tab w:val="num" w:pos="0"/>
              </w:tabs>
              <w:spacing w:line="276" w:lineRule="auto"/>
              <w:cnfStyle w:val="000000100000" w:firstRow="0" w:lastRow="0" w:firstColumn="0" w:lastColumn="0" w:oddVBand="0" w:evenVBand="0" w:oddHBand="1" w:evenHBand="0" w:firstRowFirstColumn="0" w:firstRowLastColumn="0" w:lastRowFirstColumn="0" w:lastRowLastColumn="0"/>
            </w:pPr>
            <w:r>
              <w:t>January 2019</w:t>
            </w:r>
            <w:r w:rsidR="001D56DE">
              <w:t xml:space="preserve"> </w:t>
            </w:r>
          </w:p>
        </w:tc>
      </w:tr>
      <w:tr w:rsidR="001D75BA" w:rsidTr="002D05BF">
        <w:trPr>
          <w:trHeight w:val="474"/>
        </w:trPr>
        <w:tc>
          <w:tcPr>
            <w:cnfStyle w:val="001000000000" w:firstRow="0" w:lastRow="0" w:firstColumn="1" w:lastColumn="0" w:oddVBand="0" w:evenVBand="0" w:oddHBand="0" w:evenHBand="0" w:firstRowFirstColumn="0" w:firstRowLastColumn="0" w:lastRowFirstColumn="0" w:lastRowLastColumn="0"/>
            <w:tcW w:w="3400" w:type="dxa"/>
          </w:tcPr>
          <w:p w:rsidR="001D75BA" w:rsidRPr="00453160" w:rsidRDefault="001D75BA" w:rsidP="00AC08C7">
            <w:pPr>
              <w:tabs>
                <w:tab w:val="num" w:pos="0"/>
              </w:tabs>
              <w:spacing w:line="276" w:lineRule="auto"/>
              <w:rPr>
                <w:b w:val="0"/>
              </w:rPr>
            </w:pPr>
            <w:r w:rsidRPr="00453160">
              <w:t>Reports to:</w:t>
            </w:r>
          </w:p>
        </w:tc>
        <w:tc>
          <w:tcPr>
            <w:tcW w:w="5972" w:type="dxa"/>
          </w:tcPr>
          <w:p w:rsidR="001D75BA" w:rsidRPr="0039069C" w:rsidRDefault="00326704" w:rsidP="00AC08C7">
            <w:pPr>
              <w:tabs>
                <w:tab w:val="num" w:pos="0"/>
              </w:tabs>
              <w:spacing w:line="276" w:lineRule="auto"/>
              <w:cnfStyle w:val="000000000000" w:firstRow="0" w:lastRow="0" w:firstColumn="0" w:lastColumn="0" w:oddVBand="0" w:evenVBand="0" w:oddHBand="0" w:evenHBand="0" w:firstRowFirstColumn="0" w:firstRowLastColumn="0" w:lastRowFirstColumn="0" w:lastRowLastColumn="0"/>
            </w:pPr>
            <w:r>
              <w:t xml:space="preserve">Head of Medical Devices </w:t>
            </w:r>
            <w:r w:rsidR="0012761F">
              <w:t xml:space="preserve"> </w:t>
            </w:r>
          </w:p>
        </w:tc>
      </w:tr>
      <w:tr w:rsidR="001D75BA" w:rsidTr="002D05BF">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400" w:type="dxa"/>
          </w:tcPr>
          <w:p w:rsidR="001D75BA" w:rsidRDefault="001D75BA" w:rsidP="00AC08C7">
            <w:pPr>
              <w:tabs>
                <w:tab w:val="num" w:pos="0"/>
              </w:tabs>
              <w:spacing w:line="276" w:lineRule="auto"/>
            </w:pPr>
            <w:r w:rsidRPr="00453160">
              <w:t>Grade:</w:t>
            </w:r>
          </w:p>
        </w:tc>
        <w:tc>
          <w:tcPr>
            <w:tcW w:w="5972" w:type="dxa"/>
          </w:tcPr>
          <w:p w:rsidR="001D75BA" w:rsidRPr="0039069C" w:rsidRDefault="002A1238" w:rsidP="00AC08C7">
            <w:pPr>
              <w:tabs>
                <w:tab w:val="num" w:pos="0"/>
              </w:tabs>
              <w:spacing w:line="276" w:lineRule="auto"/>
              <w:cnfStyle w:val="000000100000" w:firstRow="0" w:lastRow="0" w:firstColumn="0" w:lastColumn="0" w:oddVBand="0" w:evenVBand="0" w:oddHBand="1" w:evenHBand="0" w:firstRowFirstColumn="0" w:firstRowLastColumn="0" w:lastRowFirstColumn="0" w:lastRowLastColumn="0"/>
            </w:pPr>
            <w:r>
              <w:t>P</w:t>
            </w:r>
            <w:r w:rsidR="0012761F">
              <w:t>SO</w:t>
            </w:r>
          </w:p>
        </w:tc>
      </w:tr>
      <w:tr w:rsidR="00933BDE" w:rsidTr="002D05BF">
        <w:trPr>
          <w:trHeight w:val="440"/>
        </w:trPr>
        <w:tc>
          <w:tcPr>
            <w:cnfStyle w:val="001000000000" w:firstRow="0" w:lastRow="0" w:firstColumn="1" w:lastColumn="0" w:oddVBand="0" w:evenVBand="0" w:oddHBand="0" w:evenHBand="0" w:firstRowFirstColumn="0" w:firstRowLastColumn="0" w:lastRowFirstColumn="0" w:lastRowLastColumn="0"/>
            <w:tcW w:w="3400" w:type="dxa"/>
          </w:tcPr>
          <w:p w:rsidR="00933BDE" w:rsidRPr="00453160" w:rsidRDefault="002D05BF" w:rsidP="00AC08C7">
            <w:pPr>
              <w:tabs>
                <w:tab w:val="num" w:pos="0"/>
              </w:tabs>
              <w:spacing w:line="276" w:lineRule="auto"/>
            </w:pPr>
            <w:r>
              <w:t>No. of direct reports</w:t>
            </w:r>
            <w:r w:rsidR="00933BDE">
              <w:t xml:space="preserve">: </w:t>
            </w:r>
          </w:p>
        </w:tc>
        <w:tc>
          <w:tcPr>
            <w:tcW w:w="5972" w:type="dxa"/>
          </w:tcPr>
          <w:p w:rsidR="00326704" w:rsidRPr="0039069C" w:rsidRDefault="00326704" w:rsidP="00AC08C7">
            <w:pPr>
              <w:tabs>
                <w:tab w:val="num" w:pos="0"/>
              </w:tabs>
              <w:spacing w:line="276" w:lineRule="auto"/>
              <w:cnfStyle w:val="000000000000" w:firstRow="0" w:lastRow="0" w:firstColumn="0" w:lastColumn="0" w:oddVBand="0" w:evenVBand="0" w:oddHBand="0" w:evenHBand="0" w:firstRowFirstColumn="0" w:firstRowLastColumn="0" w:lastRowFirstColumn="0" w:lastRowLastColumn="0"/>
            </w:pPr>
            <w:r>
              <w:t>11</w:t>
            </w:r>
          </w:p>
        </w:tc>
      </w:tr>
      <w:tr w:rsidR="001D75BA" w:rsidTr="002D05BF">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400" w:type="dxa"/>
          </w:tcPr>
          <w:p w:rsidR="001D75BA" w:rsidRDefault="005A48AA" w:rsidP="002D05BF">
            <w:pPr>
              <w:tabs>
                <w:tab w:val="num" w:pos="0"/>
              </w:tabs>
              <w:spacing w:line="276" w:lineRule="auto"/>
            </w:pPr>
            <w:r>
              <w:t>FTE:</w:t>
            </w:r>
          </w:p>
        </w:tc>
        <w:tc>
          <w:tcPr>
            <w:tcW w:w="5972" w:type="dxa"/>
          </w:tcPr>
          <w:p w:rsidR="001D75BA" w:rsidRPr="0039069C" w:rsidRDefault="000570CE" w:rsidP="00AC08C7">
            <w:pPr>
              <w:tabs>
                <w:tab w:val="num" w:pos="0"/>
              </w:tabs>
              <w:spacing w:line="276" w:lineRule="auto"/>
              <w:cnfStyle w:val="000000100000" w:firstRow="0" w:lastRow="0" w:firstColumn="0" w:lastColumn="0" w:oddVBand="0" w:evenVBand="0" w:oddHBand="1" w:evenHBand="0" w:firstRowFirstColumn="0" w:firstRowLastColumn="0" w:lastRowFirstColumn="0" w:lastRowLastColumn="0"/>
            </w:pPr>
            <w:r>
              <w:t>Full time</w:t>
            </w:r>
          </w:p>
        </w:tc>
      </w:tr>
      <w:tr w:rsidR="001D75BA" w:rsidTr="002D05BF">
        <w:trPr>
          <w:trHeight w:val="440"/>
        </w:trPr>
        <w:tc>
          <w:tcPr>
            <w:cnfStyle w:val="001000000000" w:firstRow="0" w:lastRow="0" w:firstColumn="1" w:lastColumn="0" w:oddVBand="0" w:evenVBand="0" w:oddHBand="0" w:evenHBand="0" w:firstRowFirstColumn="0" w:firstRowLastColumn="0" w:lastRowFirstColumn="0" w:lastRowLastColumn="0"/>
            <w:tcW w:w="3400" w:type="dxa"/>
          </w:tcPr>
          <w:p w:rsidR="001D75BA" w:rsidRPr="00453160" w:rsidRDefault="001D75BA" w:rsidP="00AC08C7">
            <w:pPr>
              <w:tabs>
                <w:tab w:val="num" w:pos="0"/>
              </w:tabs>
              <w:spacing w:line="276" w:lineRule="auto"/>
              <w:rPr>
                <w:b w:val="0"/>
              </w:rPr>
            </w:pPr>
            <w:r w:rsidRPr="006307AA">
              <w:t>Status:</w:t>
            </w:r>
            <w:r>
              <w:rPr>
                <w:b w:val="0"/>
              </w:rPr>
              <w:t xml:space="preserve"> </w:t>
            </w:r>
          </w:p>
        </w:tc>
        <w:tc>
          <w:tcPr>
            <w:tcW w:w="5972" w:type="dxa"/>
          </w:tcPr>
          <w:p w:rsidR="001D75BA" w:rsidRPr="0039069C" w:rsidRDefault="00326704" w:rsidP="00AC08C7">
            <w:pPr>
              <w:tabs>
                <w:tab w:val="num" w:pos="0"/>
              </w:tabs>
              <w:spacing w:line="276" w:lineRule="auto"/>
              <w:cnfStyle w:val="000000000000" w:firstRow="0" w:lastRow="0" w:firstColumn="0" w:lastColumn="0" w:oddVBand="0" w:evenVBand="0" w:oddHBand="0" w:evenHBand="0" w:firstRowFirstColumn="0" w:firstRowLastColumn="0" w:lastRowFirstColumn="0" w:lastRowLastColumn="0"/>
            </w:pPr>
            <w:r>
              <w:t xml:space="preserve">Permanent </w:t>
            </w:r>
          </w:p>
        </w:tc>
      </w:tr>
      <w:tr w:rsidR="005B7921" w:rsidTr="002D05BF">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400" w:type="dxa"/>
          </w:tcPr>
          <w:p w:rsidR="005B7921" w:rsidRPr="006307AA" w:rsidRDefault="005B7921" w:rsidP="00AC08C7">
            <w:pPr>
              <w:tabs>
                <w:tab w:val="num" w:pos="0"/>
              </w:tabs>
              <w:spacing w:line="276" w:lineRule="auto"/>
            </w:pPr>
            <w:r>
              <w:t>REFERENCE</w:t>
            </w:r>
          </w:p>
        </w:tc>
        <w:tc>
          <w:tcPr>
            <w:tcW w:w="5972" w:type="dxa"/>
          </w:tcPr>
          <w:p w:rsidR="005B7921" w:rsidRDefault="001D56DE" w:rsidP="00AC08C7">
            <w:pPr>
              <w:tabs>
                <w:tab w:val="num" w:pos="0"/>
              </w:tabs>
              <w:spacing w:line="276" w:lineRule="auto"/>
              <w:cnfStyle w:val="000000100000" w:firstRow="0" w:lastRow="0" w:firstColumn="0" w:lastColumn="0" w:oddVBand="0" w:evenVBand="0" w:oddHBand="1" w:evenHBand="0" w:firstRowFirstColumn="0" w:firstRowLastColumn="0" w:lastRowFirstColumn="0" w:lastRowLastColumn="0"/>
            </w:pPr>
            <w:r>
              <w:t>2</w:t>
            </w:r>
            <w:r w:rsidR="00326704">
              <w:t>2</w:t>
            </w:r>
            <w:r w:rsidR="000570CE">
              <w:t>-18</w:t>
            </w:r>
          </w:p>
        </w:tc>
      </w:tr>
    </w:tbl>
    <w:p w:rsidR="001D75BA" w:rsidRDefault="001D75BA" w:rsidP="001D75BA">
      <w:pPr>
        <w:tabs>
          <w:tab w:val="num" w:pos="0"/>
        </w:tabs>
        <w:spacing w:line="276" w:lineRule="auto"/>
      </w:pPr>
      <w:r w:rsidRPr="00453160">
        <w:t xml:space="preserve"> </w:t>
      </w:r>
    </w:p>
    <w:p w:rsidR="00933BDE" w:rsidRDefault="00933BDE" w:rsidP="001D75BA">
      <w:pPr>
        <w:tabs>
          <w:tab w:val="num" w:pos="0"/>
        </w:tabs>
        <w:spacing w:line="276" w:lineRule="auto"/>
      </w:pPr>
    </w:p>
    <w:p w:rsidR="00933BDE" w:rsidRDefault="00933BDE" w:rsidP="008B6551">
      <w:pPr>
        <w:tabs>
          <w:tab w:val="num" w:pos="0"/>
        </w:tabs>
        <w:spacing w:line="276" w:lineRule="auto"/>
        <w:jc w:val="both"/>
        <w:rPr>
          <w:b/>
          <w:u w:val="single"/>
        </w:rPr>
      </w:pPr>
      <w:r w:rsidRPr="002D05BF">
        <w:rPr>
          <w:b/>
          <w:u w:val="single"/>
        </w:rPr>
        <w:t>Job Overview</w:t>
      </w:r>
      <w:r w:rsidR="002D05BF">
        <w:rPr>
          <w:b/>
          <w:u w:val="single"/>
        </w:rPr>
        <w:t xml:space="preserve"> </w:t>
      </w:r>
    </w:p>
    <w:p w:rsidR="0012761F" w:rsidRDefault="0012761F" w:rsidP="008B6551">
      <w:pPr>
        <w:tabs>
          <w:tab w:val="num" w:pos="0"/>
        </w:tabs>
        <w:spacing w:line="276" w:lineRule="auto"/>
        <w:jc w:val="both"/>
        <w:rPr>
          <w:b/>
          <w:u w:val="single"/>
        </w:rPr>
      </w:pPr>
    </w:p>
    <w:p w:rsidR="002C707E" w:rsidRDefault="002C707E" w:rsidP="00592431">
      <w:pPr>
        <w:tabs>
          <w:tab w:val="num" w:pos="0"/>
        </w:tabs>
        <w:spacing w:line="276" w:lineRule="auto"/>
        <w:jc w:val="both"/>
      </w:pPr>
      <w:r>
        <w:t xml:space="preserve">As a Notified Body under the Active Implantable, In Vitro Diagnostic and Medical Devices Directives, NSAI provides </w:t>
      </w:r>
      <w:proofErr w:type="gramStart"/>
      <w:r>
        <w:t>particular expertise</w:t>
      </w:r>
      <w:proofErr w:type="gramEnd"/>
      <w:r>
        <w:t xml:space="preserve"> in the CE Marking of medical devices</w:t>
      </w:r>
      <w:r w:rsidR="00157103">
        <w:t xml:space="preserve"> </w:t>
      </w:r>
      <w:r w:rsidR="00157103" w:rsidRPr="00592431">
        <w:t>and invitro diagnostic test</w:t>
      </w:r>
      <w:r>
        <w:t>. Working with a worldwide client base, NSAI has issued EC quality system certificates covering over 300 product families and in excess of 11,000 individual catalogue items.</w:t>
      </w:r>
    </w:p>
    <w:p w:rsidR="0012761F" w:rsidRPr="0012761F" w:rsidRDefault="0012761F" w:rsidP="00592431">
      <w:pPr>
        <w:tabs>
          <w:tab w:val="num" w:pos="0"/>
        </w:tabs>
        <w:spacing w:line="276" w:lineRule="auto"/>
        <w:jc w:val="both"/>
      </w:pPr>
      <w:r>
        <w:t xml:space="preserve">NSAI </w:t>
      </w:r>
      <w:r w:rsidR="00326704">
        <w:t>is looking to recruit for the position of European Operations Manager</w:t>
      </w:r>
      <w:r w:rsidR="00787427">
        <w:t xml:space="preserve"> w</w:t>
      </w:r>
      <w:r w:rsidR="002C707E">
        <w:t xml:space="preserve">ho will </w:t>
      </w:r>
      <w:r w:rsidR="00D44E84">
        <w:t xml:space="preserve">be responsible for managing a team </w:t>
      </w:r>
      <w:r w:rsidR="00D44E84" w:rsidRPr="002C707E">
        <w:t>of medical device and in vitro diagnostic product technical file reviewers and auditors.</w:t>
      </w:r>
      <w:r w:rsidR="00D44E84">
        <w:rPr>
          <w:sz w:val="22"/>
          <w:szCs w:val="22"/>
        </w:rPr>
        <w:t xml:space="preserve"> </w:t>
      </w:r>
    </w:p>
    <w:p w:rsidR="002D05BF" w:rsidRPr="002D05BF" w:rsidRDefault="002D05BF" w:rsidP="008B6551">
      <w:pPr>
        <w:tabs>
          <w:tab w:val="num" w:pos="0"/>
        </w:tabs>
        <w:spacing w:line="276" w:lineRule="auto"/>
        <w:jc w:val="both"/>
        <w:rPr>
          <w:b/>
          <w:u w:val="single"/>
        </w:rPr>
      </w:pPr>
    </w:p>
    <w:p w:rsidR="00933BDE" w:rsidRDefault="00933BDE" w:rsidP="008B6551">
      <w:pPr>
        <w:tabs>
          <w:tab w:val="num" w:pos="0"/>
        </w:tabs>
        <w:spacing w:line="276" w:lineRule="auto"/>
        <w:jc w:val="both"/>
        <w:rPr>
          <w:b/>
          <w:u w:val="single"/>
        </w:rPr>
      </w:pPr>
      <w:r w:rsidRPr="002D05BF">
        <w:rPr>
          <w:b/>
          <w:u w:val="single"/>
        </w:rPr>
        <w:t>Key Tasks and Responsibilities</w:t>
      </w:r>
    </w:p>
    <w:p w:rsidR="009B1089" w:rsidRDefault="009B1089" w:rsidP="008B6551">
      <w:pPr>
        <w:tabs>
          <w:tab w:val="num" w:pos="0"/>
        </w:tabs>
        <w:spacing w:line="276" w:lineRule="auto"/>
        <w:jc w:val="both"/>
        <w:rPr>
          <w:b/>
          <w:u w:val="single"/>
        </w:rPr>
      </w:pPr>
    </w:p>
    <w:p w:rsidR="00157103" w:rsidRPr="00592431" w:rsidRDefault="00157103" w:rsidP="002C707E">
      <w:pPr>
        <w:pStyle w:val="ListParagraph"/>
        <w:numPr>
          <w:ilvl w:val="0"/>
          <w:numId w:val="19"/>
        </w:numPr>
        <w:tabs>
          <w:tab w:val="num" w:pos="0"/>
        </w:tabs>
        <w:spacing w:line="276" w:lineRule="auto"/>
        <w:jc w:val="both"/>
      </w:pPr>
      <w:r w:rsidRPr="00592431">
        <w:t>Manage the resources of the European Medical Device division, including responsibility for staff, systems, budget, operational plans and procedures</w:t>
      </w:r>
      <w:r w:rsidR="00147BE0">
        <w:t>.</w:t>
      </w:r>
    </w:p>
    <w:p w:rsidR="00157103" w:rsidRDefault="00157103" w:rsidP="00157103">
      <w:pPr>
        <w:tabs>
          <w:tab w:val="num" w:pos="0"/>
        </w:tabs>
        <w:spacing w:line="276" w:lineRule="auto"/>
        <w:jc w:val="both"/>
      </w:pPr>
    </w:p>
    <w:p w:rsidR="002C707E" w:rsidRDefault="002C707E" w:rsidP="002C707E">
      <w:pPr>
        <w:pStyle w:val="ListParagraph"/>
        <w:numPr>
          <w:ilvl w:val="0"/>
          <w:numId w:val="19"/>
        </w:numPr>
        <w:tabs>
          <w:tab w:val="num" w:pos="0"/>
        </w:tabs>
        <w:spacing w:line="276" w:lineRule="auto"/>
        <w:jc w:val="both"/>
      </w:pPr>
      <w:r w:rsidRPr="002C707E">
        <w:t>Plan and manage audits and product technical file reviews in conjunction with client service representatives as well as resources from other</w:t>
      </w:r>
      <w:r w:rsidR="00F622CE">
        <w:t xml:space="preserve"> regions</w:t>
      </w:r>
      <w:r w:rsidR="00362A2C">
        <w:t>.</w:t>
      </w:r>
      <w:r w:rsidRPr="002C707E">
        <w:t xml:space="preserve"> </w:t>
      </w:r>
    </w:p>
    <w:p w:rsidR="00787427" w:rsidRDefault="00787427" w:rsidP="00787427">
      <w:pPr>
        <w:pStyle w:val="ListParagraph"/>
      </w:pPr>
    </w:p>
    <w:p w:rsidR="002C707E" w:rsidRDefault="002C707E" w:rsidP="002C707E">
      <w:pPr>
        <w:pStyle w:val="ListParagraph"/>
        <w:numPr>
          <w:ilvl w:val="0"/>
          <w:numId w:val="19"/>
        </w:numPr>
        <w:tabs>
          <w:tab w:val="num" w:pos="0"/>
        </w:tabs>
        <w:spacing w:line="276" w:lineRule="auto"/>
        <w:jc w:val="both"/>
      </w:pPr>
      <w:r w:rsidRPr="002C707E">
        <w:t>Assess competency</w:t>
      </w:r>
      <w:r w:rsidR="00BA77D9">
        <w:t xml:space="preserve"> </w:t>
      </w:r>
      <w:r w:rsidR="00BA77D9" w:rsidRPr="00592431">
        <w:t>of staff</w:t>
      </w:r>
      <w:r w:rsidRPr="002C707E">
        <w:t xml:space="preserve">, develop and manage training programmes for auditors and product technical file reviewers. </w:t>
      </w:r>
    </w:p>
    <w:p w:rsidR="00BA77D9" w:rsidRDefault="002C707E" w:rsidP="002C707E">
      <w:pPr>
        <w:pStyle w:val="ListParagraph"/>
        <w:numPr>
          <w:ilvl w:val="0"/>
          <w:numId w:val="19"/>
        </w:numPr>
        <w:tabs>
          <w:tab w:val="num" w:pos="0"/>
        </w:tabs>
        <w:spacing w:line="276" w:lineRule="auto"/>
        <w:jc w:val="both"/>
      </w:pPr>
      <w:r w:rsidRPr="002C707E">
        <w:t xml:space="preserve">Perform and manage witness audits of the auditors. </w:t>
      </w:r>
    </w:p>
    <w:p w:rsidR="00BA77D9" w:rsidRDefault="00BA77D9" w:rsidP="00BA77D9">
      <w:pPr>
        <w:pStyle w:val="ListParagraph"/>
      </w:pPr>
    </w:p>
    <w:p w:rsidR="002C707E" w:rsidRDefault="002C707E" w:rsidP="002C707E">
      <w:pPr>
        <w:pStyle w:val="ListParagraph"/>
        <w:numPr>
          <w:ilvl w:val="0"/>
          <w:numId w:val="19"/>
        </w:numPr>
        <w:tabs>
          <w:tab w:val="num" w:pos="0"/>
        </w:tabs>
        <w:spacing w:line="276" w:lineRule="auto"/>
        <w:jc w:val="both"/>
      </w:pPr>
      <w:r w:rsidRPr="002C707E">
        <w:t>Liaise with auditors and product technical file reviewers in relation to site</w:t>
      </w:r>
      <w:r w:rsidR="00BA77D9">
        <w:t xml:space="preserve"> </w:t>
      </w:r>
      <w:r w:rsidR="00BA77D9" w:rsidRPr="00592431">
        <w:t>issues</w:t>
      </w:r>
      <w:r w:rsidRPr="002C707E">
        <w:t>, standard</w:t>
      </w:r>
      <w:r w:rsidR="00BA77D9">
        <w:t>s</w:t>
      </w:r>
      <w:r w:rsidRPr="002C707E">
        <w:t>, product and regulatory issues. Provide input into technical review of audit packages</w:t>
      </w:r>
      <w:r w:rsidR="00BA77D9">
        <w:t xml:space="preserve"> </w:t>
      </w:r>
      <w:r w:rsidR="00BA77D9" w:rsidRPr="00592431">
        <w:t>and product technical file review</w:t>
      </w:r>
      <w:r w:rsidRPr="002C707E">
        <w:t xml:space="preserve">. </w:t>
      </w:r>
    </w:p>
    <w:p w:rsidR="00787427" w:rsidRDefault="00787427" w:rsidP="00787427">
      <w:pPr>
        <w:pStyle w:val="ListParagraph"/>
      </w:pPr>
    </w:p>
    <w:p w:rsidR="00BA77D9" w:rsidRDefault="002C707E" w:rsidP="002C707E">
      <w:pPr>
        <w:pStyle w:val="ListParagraph"/>
        <w:numPr>
          <w:ilvl w:val="0"/>
          <w:numId w:val="19"/>
        </w:numPr>
        <w:tabs>
          <w:tab w:val="num" w:pos="0"/>
        </w:tabs>
        <w:spacing w:line="276" w:lineRule="auto"/>
        <w:jc w:val="both"/>
      </w:pPr>
      <w:r w:rsidRPr="002C707E">
        <w:t xml:space="preserve">Provide auditors with real time support whilst they are on site. Engage with auditors post audit and ensure responses to non-conformances </w:t>
      </w:r>
      <w:r w:rsidR="00BA77D9" w:rsidRPr="00592431">
        <w:t xml:space="preserve">and expenses </w:t>
      </w:r>
      <w:r w:rsidRPr="002C707E">
        <w:t xml:space="preserve">are addressed in a timely manner. </w:t>
      </w:r>
    </w:p>
    <w:p w:rsidR="00BA77D9" w:rsidRDefault="00BA77D9" w:rsidP="00BA77D9">
      <w:pPr>
        <w:pStyle w:val="ListParagraph"/>
      </w:pPr>
    </w:p>
    <w:p w:rsidR="002C707E" w:rsidRPr="00BA77D9" w:rsidRDefault="004B224D" w:rsidP="00592431">
      <w:pPr>
        <w:pStyle w:val="ListParagraph"/>
        <w:numPr>
          <w:ilvl w:val="0"/>
          <w:numId w:val="19"/>
        </w:numPr>
        <w:tabs>
          <w:tab w:val="num" w:pos="0"/>
        </w:tabs>
        <w:spacing w:line="276" w:lineRule="auto"/>
        <w:jc w:val="both"/>
      </w:pPr>
      <w:r w:rsidRPr="00592431">
        <w:t>Manage</w:t>
      </w:r>
      <w:r w:rsidR="00592431">
        <w:t xml:space="preserve"> the</w:t>
      </w:r>
      <w:r w:rsidR="002C707E" w:rsidRPr="002C707E">
        <w:t xml:space="preserve"> p</w:t>
      </w:r>
      <w:r w:rsidR="00405946">
        <w:t xml:space="preserve">roduct technical file review </w:t>
      </w:r>
      <w:r w:rsidR="00405946" w:rsidRPr="00592431">
        <w:t>team</w:t>
      </w:r>
      <w:r w:rsidR="00405946">
        <w:t xml:space="preserve">, </w:t>
      </w:r>
      <w:r w:rsidR="00405946" w:rsidRPr="00592431">
        <w:t xml:space="preserve">liaise with them </w:t>
      </w:r>
      <w:r w:rsidR="00BA77D9" w:rsidRPr="00592431">
        <w:t>in relation to issues regarding the technical file review. Ensure reviews occur within a timely manner.</w:t>
      </w:r>
      <w:r w:rsidR="002C707E" w:rsidRPr="00BA77D9">
        <w:t xml:space="preserve">  </w:t>
      </w:r>
    </w:p>
    <w:p w:rsidR="002262A0" w:rsidRPr="002C707E" w:rsidRDefault="002262A0" w:rsidP="00592431">
      <w:pPr>
        <w:pStyle w:val="ListParagraph"/>
        <w:tabs>
          <w:tab w:val="num" w:pos="0"/>
        </w:tabs>
        <w:spacing w:line="276" w:lineRule="auto"/>
        <w:jc w:val="both"/>
      </w:pPr>
    </w:p>
    <w:p w:rsidR="00787427" w:rsidRDefault="00405946" w:rsidP="00592431">
      <w:pPr>
        <w:pStyle w:val="ListParagraph"/>
        <w:numPr>
          <w:ilvl w:val="0"/>
          <w:numId w:val="19"/>
        </w:numPr>
        <w:tabs>
          <w:tab w:val="num" w:pos="0"/>
        </w:tabs>
        <w:spacing w:line="276" w:lineRule="auto"/>
        <w:jc w:val="both"/>
      </w:pPr>
      <w:r w:rsidRPr="00592431">
        <w:t>Chair</w:t>
      </w:r>
      <w:r>
        <w:t xml:space="preserve"> </w:t>
      </w:r>
      <w:r w:rsidR="002C707E" w:rsidRPr="002C707E">
        <w:t>te</w:t>
      </w:r>
      <w:r w:rsidR="00BA77D9">
        <w:t xml:space="preserve">chnical review meetings for </w:t>
      </w:r>
      <w:r w:rsidR="002C707E" w:rsidRPr="002C707E">
        <w:t>certification, substantial change and recertification approvals of product technical files.</w:t>
      </w:r>
    </w:p>
    <w:p w:rsidR="00787427" w:rsidRPr="002C707E" w:rsidRDefault="00787427" w:rsidP="00592431">
      <w:pPr>
        <w:tabs>
          <w:tab w:val="num" w:pos="0"/>
        </w:tabs>
        <w:spacing w:line="276" w:lineRule="auto"/>
        <w:jc w:val="both"/>
      </w:pPr>
    </w:p>
    <w:p w:rsidR="002C707E" w:rsidRPr="002C707E" w:rsidRDefault="002C707E" w:rsidP="00592431">
      <w:pPr>
        <w:pStyle w:val="ListParagraph"/>
        <w:numPr>
          <w:ilvl w:val="0"/>
          <w:numId w:val="19"/>
        </w:numPr>
        <w:jc w:val="both"/>
      </w:pPr>
      <w:r w:rsidRPr="002C707E">
        <w:t xml:space="preserve">Responsible for maintenance and development of all associated Quality System Documentation and effective execution of all activities assigned to the Operations Manager. Organise internal audits and review the </w:t>
      </w:r>
      <w:r w:rsidR="00787427" w:rsidRPr="002C707E">
        <w:t>non-conformances</w:t>
      </w:r>
      <w:r w:rsidRPr="002C707E">
        <w:t xml:space="preserve"> associated with this. </w:t>
      </w:r>
    </w:p>
    <w:p w:rsidR="002C707E" w:rsidRPr="002C707E" w:rsidRDefault="002C707E" w:rsidP="00592431">
      <w:pPr>
        <w:jc w:val="both"/>
      </w:pPr>
    </w:p>
    <w:p w:rsidR="00787427" w:rsidRDefault="002C707E" w:rsidP="00592431">
      <w:pPr>
        <w:pStyle w:val="ListParagraph"/>
        <w:numPr>
          <w:ilvl w:val="0"/>
          <w:numId w:val="19"/>
        </w:numPr>
        <w:jc w:val="both"/>
      </w:pPr>
      <w:r w:rsidRPr="002C707E">
        <w:t xml:space="preserve">Functions as the deputy Management Representative for all management system activities. Responsible for external accreditation audits and the investigation, corrective action and effective close out of any </w:t>
      </w:r>
      <w:r w:rsidR="00787427" w:rsidRPr="002C707E">
        <w:t>non-conformances</w:t>
      </w:r>
      <w:r w:rsidRPr="002C707E">
        <w:t xml:space="preserve"> which arise. Keep the CAPA system up to date. </w:t>
      </w:r>
    </w:p>
    <w:p w:rsidR="00787427" w:rsidRDefault="00787427" w:rsidP="00592431">
      <w:pPr>
        <w:pStyle w:val="ListParagraph"/>
        <w:jc w:val="both"/>
      </w:pPr>
    </w:p>
    <w:p w:rsidR="002C707E" w:rsidRPr="002C707E" w:rsidRDefault="002C707E" w:rsidP="00592431">
      <w:pPr>
        <w:pStyle w:val="ListParagraph"/>
        <w:numPr>
          <w:ilvl w:val="0"/>
          <w:numId w:val="19"/>
        </w:numPr>
        <w:jc w:val="both"/>
      </w:pPr>
      <w:r w:rsidRPr="002C707E">
        <w:t>Responsible for communications with associated accreditation bodies including external audit preparation, corrective actions, invoicing and any other associated requirements. Review and implement accreditation updates /bulletins</w:t>
      </w:r>
      <w:r w:rsidR="00F53F66">
        <w:t>.</w:t>
      </w:r>
    </w:p>
    <w:p w:rsidR="002C707E" w:rsidRPr="002C707E" w:rsidRDefault="002C707E" w:rsidP="00592431">
      <w:pPr>
        <w:jc w:val="both"/>
      </w:pPr>
    </w:p>
    <w:p w:rsidR="002C707E" w:rsidRPr="002C707E" w:rsidRDefault="002C707E" w:rsidP="00592431">
      <w:pPr>
        <w:pStyle w:val="ListParagraph"/>
        <w:numPr>
          <w:ilvl w:val="0"/>
          <w:numId w:val="19"/>
        </w:numPr>
        <w:jc w:val="both"/>
      </w:pPr>
      <w:r w:rsidRPr="002C707E">
        <w:t xml:space="preserve">Liaise with clients in relation to quotations, contracts, audit and product planning and site issues if they arise. Attend periodic meetings with key clients. </w:t>
      </w:r>
    </w:p>
    <w:p w:rsidR="002C707E" w:rsidRPr="002C707E" w:rsidRDefault="002C707E" w:rsidP="00592431">
      <w:pPr>
        <w:jc w:val="both"/>
      </w:pPr>
    </w:p>
    <w:p w:rsidR="002C707E" w:rsidRPr="002C707E" w:rsidRDefault="00F53F66" w:rsidP="00592431">
      <w:pPr>
        <w:pStyle w:val="ListParagraph"/>
        <w:numPr>
          <w:ilvl w:val="0"/>
          <w:numId w:val="19"/>
        </w:numPr>
        <w:jc w:val="both"/>
      </w:pPr>
      <w:r>
        <w:t xml:space="preserve">Act as </w:t>
      </w:r>
      <w:r w:rsidR="002C707E" w:rsidRPr="002C707E">
        <w:t xml:space="preserve">Chair of the vigilance review committee and makes ultimate determination if certificates are in danger. </w:t>
      </w:r>
    </w:p>
    <w:p w:rsidR="002C707E" w:rsidRPr="002C707E" w:rsidRDefault="002C707E" w:rsidP="00592431">
      <w:pPr>
        <w:jc w:val="both"/>
      </w:pPr>
    </w:p>
    <w:p w:rsidR="002C707E" w:rsidRPr="002C707E" w:rsidRDefault="002C707E" w:rsidP="00592431">
      <w:pPr>
        <w:pStyle w:val="ListParagraph"/>
        <w:numPr>
          <w:ilvl w:val="0"/>
          <w:numId w:val="19"/>
        </w:numPr>
        <w:jc w:val="both"/>
      </w:pPr>
      <w:r w:rsidRPr="002C707E">
        <w:t xml:space="preserve">Maintain and manage client feedback and complaint system in accordance with procedures. </w:t>
      </w:r>
    </w:p>
    <w:p w:rsidR="002C707E" w:rsidRPr="002C707E" w:rsidRDefault="002C707E" w:rsidP="00592431">
      <w:pPr>
        <w:jc w:val="both"/>
      </w:pPr>
    </w:p>
    <w:p w:rsidR="002C707E" w:rsidRPr="00592431" w:rsidRDefault="002C707E" w:rsidP="00592431">
      <w:pPr>
        <w:pStyle w:val="ListParagraph"/>
        <w:numPr>
          <w:ilvl w:val="0"/>
          <w:numId w:val="19"/>
        </w:numPr>
        <w:jc w:val="both"/>
      </w:pPr>
      <w:r w:rsidRPr="002C707E">
        <w:t>Plan and oversee unannounced and for cause audits in conjunction with the</w:t>
      </w:r>
      <w:r w:rsidR="00405946">
        <w:t xml:space="preserve"> unannounced audit co-ordinator, </w:t>
      </w:r>
      <w:r w:rsidR="00405946" w:rsidRPr="00592431">
        <w:t>US operations Manager and Director of medical devices</w:t>
      </w:r>
      <w:r w:rsidR="00F53F66">
        <w:t>.</w:t>
      </w:r>
      <w:r w:rsidR="00405946" w:rsidRPr="00592431">
        <w:t xml:space="preserve"> </w:t>
      </w:r>
    </w:p>
    <w:p w:rsidR="00405946" w:rsidRPr="00405946" w:rsidRDefault="00405946" w:rsidP="00592431">
      <w:pPr>
        <w:jc w:val="both"/>
        <w:rPr>
          <w:color w:val="FF0000"/>
        </w:rPr>
      </w:pPr>
    </w:p>
    <w:p w:rsidR="002C707E" w:rsidRPr="002C707E" w:rsidRDefault="002C707E" w:rsidP="00592431">
      <w:pPr>
        <w:pStyle w:val="ListParagraph"/>
        <w:numPr>
          <w:ilvl w:val="0"/>
          <w:numId w:val="19"/>
        </w:numPr>
        <w:jc w:val="both"/>
      </w:pPr>
      <w:r w:rsidRPr="002C707E">
        <w:t>Attend meetings and conferences promot</w:t>
      </w:r>
      <w:r w:rsidR="00F53F66">
        <w:t>ing</w:t>
      </w:r>
      <w:r w:rsidRPr="002C707E">
        <w:t xml:space="preserve"> NSAI at </w:t>
      </w:r>
      <w:r w:rsidR="00405946" w:rsidRPr="00592431">
        <w:t xml:space="preserve">national and </w:t>
      </w:r>
      <w:r w:rsidRPr="002C707E">
        <w:t>international level. Co-operate and work with the Business Development and Marketing functions</w:t>
      </w:r>
      <w:r w:rsidR="00F622CE">
        <w:t xml:space="preserve"> within NSAI</w:t>
      </w:r>
      <w:r w:rsidR="00362A2C">
        <w:t>,</w:t>
      </w:r>
      <w:r w:rsidRPr="002C707E">
        <w:t xml:space="preserve"> in order to maximi</w:t>
      </w:r>
      <w:r w:rsidR="00A971E5">
        <w:t>s</w:t>
      </w:r>
      <w:r w:rsidRPr="002C707E">
        <w:t>e the marketing potential of the</w:t>
      </w:r>
      <w:r w:rsidR="00F622CE">
        <w:t xml:space="preserve"> NSAI’s</w:t>
      </w:r>
      <w:r w:rsidRPr="002C707E">
        <w:t xml:space="preserve"> Medical Device operations and the maintenance of Client Relations</w:t>
      </w:r>
      <w:r w:rsidR="00362A2C">
        <w:t>.</w:t>
      </w:r>
    </w:p>
    <w:p w:rsidR="002C707E" w:rsidRPr="002C707E" w:rsidRDefault="002C707E" w:rsidP="00F622CE">
      <w:pPr>
        <w:pStyle w:val="ListParagraph"/>
        <w:jc w:val="both"/>
      </w:pPr>
    </w:p>
    <w:p w:rsidR="002C707E" w:rsidRPr="002C707E" w:rsidRDefault="002C707E" w:rsidP="00592431">
      <w:pPr>
        <w:pStyle w:val="ListParagraph"/>
        <w:numPr>
          <w:ilvl w:val="0"/>
          <w:numId w:val="19"/>
        </w:numPr>
        <w:jc w:val="both"/>
      </w:pPr>
      <w:r w:rsidRPr="002C707E">
        <w:t>Prepare net revenue</w:t>
      </w:r>
      <w:r w:rsidR="00405946">
        <w:t xml:space="preserve"> </w:t>
      </w:r>
      <w:r w:rsidR="00405946" w:rsidRPr="00592431">
        <w:t>reports</w:t>
      </w:r>
      <w:r w:rsidRPr="002C707E">
        <w:t>, performance rep</w:t>
      </w:r>
      <w:r w:rsidR="00405946">
        <w:t xml:space="preserve">orts and business plans. </w:t>
      </w:r>
      <w:r w:rsidR="00405946" w:rsidRPr="00592431">
        <w:t>Take</w:t>
      </w:r>
      <w:r w:rsidRPr="00592431">
        <w:t xml:space="preserve"> </w:t>
      </w:r>
      <w:r w:rsidRPr="002C707E">
        <w:t>an active role in management review activities for medical devices to ensure targets and budgets are met.</w:t>
      </w:r>
    </w:p>
    <w:p w:rsidR="002C707E" w:rsidRPr="002C707E" w:rsidRDefault="002C707E" w:rsidP="00592431">
      <w:pPr>
        <w:jc w:val="both"/>
      </w:pPr>
    </w:p>
    <w:p w:rsidR="002C707E" w:rsidRPr="002C707E" w:rsidRDefault="002C707E" w:rsidP="00592431">
      <w:pPr>
        <w:pStyle w:val="ListParagraph"/>
        <w:numPr>
          <w:ilvl w:val="0"/>
          <w:numId w:val="19"/>
        </w:numPr>
        <w:tabs>
          <w:tab w:val="left" w:pos="360"/>
        </w:tabs>
        <w:jc w:val="both"/>
      </w:pPr>
      <w:r w:rsidRPr="002C707E">
        <w:t>Work closely with the management team to expand NSAI’s services internationally and participate and contribute in the development of supporting business and operational strategies.</w:t>
      </w:r>
    </w:p>
    <w:p w:rsidR="002C707E" w:rsidRPr="002C707E" w:rsidRDefault="002C707E" w:rsidP="00592431">
      <w:pPr>
        <w:jc w:val="both"/>
      </w:pPr>
    </w:p>
    <w:p w:rsidR="002C707E" w:rsidRPr="002C707E" w:rsidRDefault="002C707E" w:rsidP="00592431">
      <w:pPr>
        <w:pStyle w:val="ListParagraph"/>
        <w:numPr>
          <w:ilvl w:val="0"/>
          <w:numId w:val="19"/>
        </w:numPr>
        <w:tabs>
          <w:tab w:val="left" w:pos="360"/>
        </w:tabs>
        <w:jc w:val="both"/>
      </w:pPr>
      <w:r w:rsidRPr="002C707E">
        <w:t>Participate as a member of the NSAI leadership management team.</w:t>
      </w:r>
    </w:p>
    <w:p w:rsidR="002C707E" w:rsidRDefault="002C707E" w:rsidP="00592431">
      <w:pPr>
        <w:jc w:val="both"/>
        <w:rPr>
          <w:sz w:val="22"/>
          <w:szCs w:val="22"/>
        </w:rPr>
      </w:pPr>
    </w:p>
    <w:p w:rsidR="002C707E" w:rsidRDefault="002C707E" w:rsidP="00592431">
      <w:pPr>
        <w:jc w:val="both"/>
        <w:rPr>
          <w:sz w:val="22"/>
          <w:szCs w:val="22"/>
        </w:rPr>
      </w:pPr>
    </w:p>
    <w:p w:rsidR="00592431" w:rsidRDefault="00592431" w:rsidP="00592431">
      <w:pPr>
        <w:tabs>
          <w:tab w:val="num" w:pos="0"/>
        </w:tabs>
        <w:spacing w:line="276" w:lineRule="auto"/>
        <w:jc w:val="both"/>
        <w:rPr>
          <w:b/>
          <w:u w:val="single"/>
        </w:rPr>
      </w:pPr>
    </w:p>
    <w:p w:rsidR="00F622CE" w:rsidRDefault="00F622CE" w:rsidP="00592431">
      <w:pPr>
        <w:tabs>
          <w:tab w:val="num" w:pos="0"/>
        </w:tabs>
        <w:spacing w:line="276" w:lineRule="auto"/>
        <w:jc w:val="both"/>
        <w:rPr>
          <w:b/>
          <w:u w:val="single"/>
        </w:rPr>
      </w:pPr>
    </w:p>
    <w:p w:rsidR="00F622CE" w:rsidRDefault="00F622CE" w:rsidP="00592431">
      <w:pPr>
        <w:tabs>
          <w:tab w:val="num" w:pos="0"/>
        </w:tabs>
        <w:spacing w:line="276" w:lineRule="auto"/>
        <w:jc w:val="both"/>
        <w:rPr>
          <w:b/>
          <w:u w:val="single"/>
        </w:rPr>
      </w:pPr>
    </w:p>
    <w:p w:rsidR="00F622CE" w:rsidRDefault="00F622CE" w:rsidP="00592431">
      <w:pPr>
        <w:tabs>
          <w:tab w:val="num" w:pos="0"/>
        </w:tabs>
        <w:spacing w:line="276" w:lineRule="auto"/>
        <w:jc w:val="both"/>
        <w:rPr>
          <w:b/>
          <w:u w:val="single"/>
        </w:rPr>
      </w:pPr>
    </w:p>
    <w:p w:rsidR="00592431" w:rsidRDefault="00592431" w:rsidP="00592431">
      <w:pPr>
        <w:tabs>
          <w:tab w:val="num" w:pos="0"/>
        </w:tabs>
        <w:spacing w:line="276" w:lineRule="auto"/>
        <w:jc w:val="both"/>
        <w:rPr>
          <w:b/>
          <w:u w:val="single"/>
        </w:rPr>
      </w:pPr>
    </w:p>
    <w:p w:rsidR="00933BDE" w:rsidRPr="00787427" w:rsidRDefault="00933BDE" w:rsidP="00592431">
      <w:pPr>
        <w:tabs>
          <w:tab w:val="num" w:pos="0"/>
        </w:tabs>
        <w:spacing w:line="276" w:lineRule="auto"/>
        <w:jc w:val="both"/>
        <w:rPr>
          <w:b/>
        </w:rPr>
      </w:pPr>
      <w:r w:rsidRPr="00787427">
        <w:rPr>
          <w:b/>
        </w:rPr>
        <w:t>Qualifications</w:t>
      </w:r>
      <w:r w:rsidR="002D05BF" w:rsidRPr="00787427">
        <w:rPr>
          <w:b/>
        </w:rPr>
        <w:t xml:space="preserve"> and Experience</w:t>
      </w:r>
    </w:p>
    <w:p w:rsidR="002D05BF" w:rsidRPr="00787427" w:rsidRDefault="002D05BF" w:rsidP="00592431">
      <w:pPr>
        <w:tabs>
          <w:tab w:val="num" w:pos="0"/>
        </w:tabs>
        <w:spacing w:line="276" w:lineRule="auto"/>
        <w:jc w:val="both"/>
      </w:pPr>
    </w:p>
    <w:p w:rsidR="002D05BF" w:rsidRPr="00787427" w:rsidRDefault="002D05BF" w:rsidP="00592431">
      <w:pPr>
        <w:tabs>
          <w:tab w:val="num" w:pos="0"/>
        </w:tabs>
        <w:spacing w:line="276" w:lineRule="auto"/>
        <w:jc w:val="both"/>
        <w:rPr>
          <w:b/>
          <w:u w:val="single"/>
        </w:rPr>
      </w:pPr>
      <w:r w:rsidRPr="00787427">
        <w:rPr>
          <w:b/>
          <w:u w:val="single"/>
        </w:rPr>
        <w:t>Essential</w:t>
      </w:r>
    </w:p>
    <w:p w:rsidR="00232B37" w:rsidRPr="00787427" w:rsidRDefault="00232B37" w:rsidP="00592431">
      <w:pPr>
        <w:tabs>
          <w:tab w:val="num" w:pos="0"/>
        </w:tabs>
        <w:spacing w:line="276" w:lineRule="auto"/>
        <w:jc w:val="both"/>
      </w:pPr>
    </w:p>
    <w:p w:rsidR="00787427" w:rsidRPr="00787427" w:rsidRDefault="00787427" w:rsidP="00592431">
      <w:pPr>
        <w:pStyle w:val="ListParagraph"/>
        <w:numPr>
          <w:ilvl w:val="0"/>
          <w:numId w:val="20"/>
        </w:numPr>
        <w:jc w:val="both"/>
      </w:pPr>
      <w:r w:rsidRPr="00787427">
        <w:t>Successful completion of a university degree</w:t>
      </w:r>
      <w:r w:rsidR="00CA754B">
        <w:t>,</w:t>
      </w:r>
      <w:r w:rsidRPr="00787427">
        <w:t xml:space="preserve"> technical college degree or equivalent qualification in relevant studies such as: medicine, pharmacy, engineering or other relevant sciences.</w:t>
      </w:r>
    </w:p>
    <w:p w:rsidR="00933BDE" w:rsidRDefault="00933BDE" w:rsidP="00592431">
      <w:pPr>
        <w:spacing w:line="276" w:lineRule="auto"/>
        <w:jc w:val="both"/>
      </w:pPr>
    </w:p>
    <w:p w:rsidR="00787427" w:rsidRDefault="00787427" w:rsidP="00592431">
      <w:pPr>
        <w:pStyle w:val="ListParagraph"/>
        <w:numPr>
          <w:ilvl w:val="0"/>
          <w:numId w:val="20"/>
        </w:numPr>
        <w:jc w:val="both"/>
      </w:pPr>
      <w:r w:rsidRPr="00787427">
        <w:t>A qualified lead auditor with extensive experience in ISO 13485, ISO 9001, ISO 17021, MDSAP, MDD, IVDD.</w:t>
      </w:r>
    </w:p>
    <w:p w:rsidR="005B2D10" w:rsidRDefault="005B2D10" w:rsidP="00592431">
      <w:pPr>
        <w:pStyle w:val="ListParagraph"/>
        <w:jc w:val="both"/>
      </w:pPr>
    </w:p>
    <w:p w:rsidR="005B2D10" w:rsidRPr="00787427" w:rsidRDefault="005B2D10" w:rsidP="00592431">
      <w:pPr>
        <w:pStyle w:val="ListParagraph"/>
        <w:numPr>
          <w:ilvl w:val="0"/>
          <w:numId w:val="20"/>
        </w:numPr>
        <w:jc w:val="both"/>
      </w:pPr>
      <w:r w:rsidRPr="00787427">
        <w:t>Extensive knowledge of the MDSAP scheme.</w:t>
      </w:r>
    </w:p>
    <w:p w:rsidR="00787427" w:rsidRPr="00787427" w:rsidRDefault="00787427" w:rsidP="00592431">
      <w:pPr>
        <w:pStyle w:val="ListParagraph"/>
        <w:jc w:val="both"/>
      </w:pPr>
    </w:p>
    <w:p w:rsidR="00787427" w:rsidRPr="00787427" w:rsidRDefault="002262A0" w:rsidP="00592431">
      <w:pPr>
        <w:pStyle w:val="ListParagraph"/>
        <w:numPr>
          <w:ilvl w:val="0"/>
          <w:numId w:val="20"/>
        </w:numPr>
        <w:jc w:val="both"/>
      </w:pPr>
      <w:r>
        <w:t xml:space="preserve">Comprehensive understanding </w:t>
      </w:r>
      <w:r w:rsidR="00405946">
        <w:t xml:space="preserve">of the </w:t>
      </w:r>
      <w:r w:rsidR="00405946" w:rsidRPr="00592431">
        <w:t>relevant harmonised</w:t>
      </w:r>
      <w:r w:rsidR="00787427" w:rsidRPr="00592431">
        <w:t xml:space="preserve"> </w:t>
      </w:r>
      <w:r w:rsidR="00787427" w:rsidRPr="00787427">
        <w:t xml:space="preserve">standards, </w:t>
      </w:r>
      <w:r w:rsidR="00405946" w:rsidRPr="00592431">
        <w:t>common specifications</w:t>
      </w:r>
      <w:r w:rsidR="00405946">
        <w:t xml:space="preserve">, </w:t>
      </w:r>
      <w:r w:rsidR="00405946" w:rsidRPr="00592431">
        <w:t>guidance documents</w:t>
      </w:r>
      <w:r w:rsidR="00405946">
        <w:t xml:space="preserve">, </w:t>
      </w:r>
      <w:r w:rsidR="00787427" w:rsidRPr="00787427">
        <w:t xml:space="preserve">medical device directive, active implantable device directive, in vitro diagnostic device directive, medical device regulation, in vitro diagnostic device regulation. </w:t>
      </w:r>
    </w:p>
    <w:p w:rsidR="00787427" w:rsidRPr="00787427" w:rsidRDefault="00787427" w:rsidP="00592431">
      <w:pPr>
        <w:jc w:val="both"/>
      </w:pPr>
    </w:p>
    <w:p w:rsidR="00787427" w:rsidRPr="00787427" w:rsidRDefault="00787427" w:rsidP="00592431">
      <w:pPr>
        <w:pStyle w:val="ListParagraph"/>
        <w:numPr>
          <w:ilvl w:val="0"/>
          <w:numId w:val="20"/>
        </w:numPr>
        <w:jc w:val="both"/>
      </w:pPr>
      <w:r w:rsidRPr="00787427">
        <w:t xml:space="preserve">At least four </w:t>
      </w:r>
      <w:r w:rsidR="002262A0" w:rsidRPr="00787427">
        <w:t>years’ experience</w:t>
      </w:r>
      <w:r w:rsidRPr="00787427">
        <w:t xml:space="preserve"> in the field of healthcare products or related activities such as manufacturing, quality assurance, regulatory affairs, or regulatory auditing.</w:t>
      </w:r>
    </w:p>
    <w:p w:rsidR="00787427" w:rsidRPr="00787427" w:rsidRDefault="00787427" w:rsidP="00592431">
      <w:pPr>
        <w:jc w:val="both"/>
      </w:pPr>
    </w:p>
    <w:p w:rsidR="00787427" w:rsidRPr="00787427" w:rsidRDefault="00972BAB" w:rsidP="00592431">
      <w:pPr>
        <w:pStyle w:val="ListParagraph"/>
        <w:numPr>
          <w:ilvl w:val="0"/>
          <w:numId w:val="20"/>
        </w:numPr>
        <w:jc w:val="both"/>
      </w:pPr>
      <w:r>
        <w:t>K</w:t>
      </w:r>
      <w:r w:rsidR="005B2D10" w:rsidRPr="00787427">
        <w:t xml:space="preserve">nowledge </w:t>
      </w:r>
      <w:r w:rsidR="00787427" w:rsidRPr="00787427">
        <w:t>of medical device quality management system auditing, evidence of knowledge and experience of quality management system standards.</w:t>
      </w:r>
    </w:p>
    <w:p w:rsidR="00787427" w:rsidRPr="00787427" w:rsidRDefault="00787427" w:rsidP="00592431">
      <w:pPr>
        <w:jc w:val="both"/>
      </w:pPr>
    </w:p>
    <w:p w:rsidR="00787427" w:rsidRPr="00787427" w:rsidRDefault="00972BAB" w:rsidP="00592431">
      <w:pPr>
        <w:pStyle w:val="ListParagraph"/>
        <w:numPr>
          <w:ilvl w:val="0"/>
          <w:numId w:val="20"/>
        </w:numPr>
        <w:jc w:val="both"/>
      </w:pPr>
      <w:r>
        <w:t>K</w:t>
      </w:r>
      <w:r w:rsidR="00787427" w:rsidRPr="00787427">
        <w:t>nowledge and experience of risk management and related device s</w:t>
      </w:r>
      <w:r w:rsidR="00CA754B">
        <w:t>tandards and guidance documents.</w:t>
      </w:r>
    </w:p>
    <w:p w:rsidR="00787427" w:rsidRPr="00787427" w:rsidRDefault="00787427" w:rsidP="00592431">
      <w:pPr>
        <w:jc w:val="both"/>
      </w:pPr>
    </w:p>
    <w:p w:rsidR="00787427" w:rsidRPr="00787427" w:rsidRDefault="00787427" w:rsidP="00592431">
      <w:pPr>
        <w:pStyle w:val="ListParagraph"/>
        <w:numPr>
          <w:ilvl w:val="0"/>
          <w:numId w:val="20"/>
        </w:numPr>
        <w:jc w:val="both"/>
      </w:pPr>
      <w:r w:rsidRPr="00787427">
        <w:t xml:space="preserve">Knowledge and experience of the conformity assessment procedures in the </w:t>
      </w:r>
      <w:proofErr w:type="gramStart"/>
      <w:r w:rsidRPr="00787427">
        <w:t>aforementioned directives</w:t>
      </w:r>
      <w:proofErr w:type="gramEnd"/>
      <w:r w:rsidRPr="00787427">
        <w:t xml:space="preserve"> and regulations</w:t>
      </w:r>
      <w:r w:rsidR="00126A5E">
        <w:t>.</w:t>
      </w:r>
    </w:p>
    <w:p w:rsidR="00787427" w:rsidRPr="00787427" w:rsidRDefault="00787427" w:rsidP="00592431">
      <w:pPr>
        <w:jc w:val="both"/>
      </w:pPr>
    </w:p>
    <w:p w:rsidR="00787427" w:rsidRPr="00592431" w:rsidRDefault="00787427" w:rsidP="00592431">
      <w:pPr>
        <w:pStyle w:val="ListParagraph"/>
        <w:numPr>
          <w:ilvl w:val="0"/>
          <w:numId w:val="20"/>
        </w:numPr>
        <w:jc w:val="both"/>
      </w:pPr>
      <w:r w:rsidRPr="00592431">
        <w:t>Extensive management experience.</w:t>
      </w:r>
    </w:p>
    <w:p w:rsidR="00787427" w:rsidRPr="00787427" w:rsidRDefault="00787427" w:rsidP="00592431">
      <w:pPr>
        <w:pStyle w:val="ListParagraph"/>
        <w:jc w:val="both"/>
      </w:pPr>
    </w:p>
    <w:p w:rsidR="00787427" w:rsidRPr="00592431" w:rsidRDefault="00787427" w:rsidP="00592431">
      <w:pPr>
        <w:pStyle w:val="ListParagraph"/>
        <w:numPr>
          <w:ilvl w:val="0"/>
          <w:numId w:val="20"/>
        </w:numPr>
        <w:jc w:val="both"/>
      </w:pPr>
      <w:r w:rsidRPr="00592431">
        <w:t>Ability to draw up records and reports.</w:t>
      </w:r>
    </w:p>
    <w:p w:rsidR="00787427" w:rsidRPr="00787427" w:rsidRDefault="00787427" w:rsidP="00592431">
      <w:pPr>
        <w:spacing w:line="276" w:lineRule="auto"/>
        <w:jc w:val="both"/>
      </w:pPr>
    </w:p>
    <w:p w:rsidR="00787427" w:rsidRPr="00787427" w:rsidRDefault="00787427" w:rsidP="00592431">
      <w:pPr>
        <w:tabs>
          <w:tab w:val="num" w:pos="0"/>
        </w:tabs>
        <w:spacing w:line="276" w:lineRule="auto"/>
        <w:jc w:val="both"/>
        <w:rPr>
          <w:b/>
          <w:u w:val="single"/>
        </w:rPr>
      </w:pPr>
      <w:r w:rsidRPr="00787427">
        <w:rPr>
          <w:b/>
          <w:u w:val="single"/>
        </w:rPr>
        <w:t>Core Competencies</w:t>
      </w:r>
    </w:p>
    <w:p w:rsidR="00787427" w:rsidRPr="00787427" w:rsidRDefault="00787427" w:rsidP="00592431">
      <w:pPr>
        <w:jc w:val="both"/>
      </w:pPr>
    </w:p>
    <w:p w:rsidR="00787427" w:rsidRPr="00787427" w:rsidRDefault="00787427" w:rsidP="00592431">
      <w:pPr>
        <w:pStyle w:val="Default"/>
        <w:numPr>
          <w:ilvl w:val="0"/>
          <w:numId w:val="21"/>
        </w:numPr>
        <w:jc w:val="both"/>
        <w:rPr>
          <w:rFonts w:eastAsia="Times New Roman" w:cs="Times New Roman"/>
          <w:color w:val="auto"/>
          <w:sz w:val="20"/>
          <w:szCs w:val="20"/>
          <w:lang w:eastAsia="en-GB"/>
        </w:rPr>
      </w:pPr>
      <w:r w:rsidRPr="00787427">
        <w:rPr>
          <w:rFonts w:eastAsia="Times New Roman" w:cs="Times New Roman"/>
          <w:color w:val="auto"/>
          <w:sz w:val="20"/>
          <w:szCs w:val="20"/>
          <w:lang w:eastAsia="en-GB"/>
        </w:rPr>
        <w:t xml:space="preserve">Strong project management, communication, interpersonal and team-building skills. </w:t>
      </w:r>
    </w:p>
    <w:p w:rsidR="00787427" w:rsidRPr="00787427" w:rsidRDefault="00787427" w:rsidP="00592431">
      <w:pPr>
        <w:pStyle w:val="Default"/>
        <w:jc w:val="both"/>
        <w:rPr>
          <w:rFonts w:eastAsia="Times New Roman" w:cs="Times New Roman"/>
          <w:color w:val="auto"/>
          <w:sz w:val="20"/>
          <w:szCs w:val="20"/>
          <w:lang w:eastAsia="en-GB"/>
        </w:rPr>
      </w:pPr>
    </w:p>
    <w:p w:rsidR="00787427" w:rsidRPr="00787427" w:rsidRDefault="00787427" w:rsidP="00592431">
      <w:pPr>
        <w:pStyle w:val="Default"/>
        <w:numPr>
          <w:ilvl w:val="0"/>
          <w:numId w:val="21"/>
        </w:numPr>
        <w:jc w:val="both"/>
        <w:rPr>
          <w:rFonts w:eastAsia="Times New Roman" w:cs="Times New Roman"/>
          <w:color w:val="auto"/>
          <w:sz w:val="20"/>
          <w:szCs w:val="20"/>
          <w:lang w:eastAsia="en-GB"/>
        </w:rPr>
      </w:pPr>
      <w:r w:rsidRPr="00787427">
        <w:rPr>
          <w:rFonts w:eastAsia="Times New Roman" w:cs="Times New Roman"/>
          <w:color w:val="auto"/>
          <w:sz w:val="20"/>
          <w:szCs w:val="20"/>
          <w:lang w:eastAsia="en-GB"/>
        </w:rPr>
        <w:t xml:space="preserve">Exceptional writing and presentation skills. </w:t>
      </w:r>
    </w:p>
    <w:p w:rsidR="00787427" w:rsidRPr="00787427" w:rsidRDefault="00787427" w:rsidP="00592431">
      <w:pPr>
        <w:pStyle w:val="Default"/>
        <w:jc w:val="both"/>
        <w:rPr>
          <w:rFonts w:eastAsia="Times New Roman" w:cs="Times New Roman"/>
          <w:color w:val="auto"/>
          <w:sz w:val="20"/>
          <w:szCs w:val="20"/>
          <w:lang w:eastAsia="en-GB"/>
        </w:rPr>
      </w:pPr>
    </w:p>
    <w:p w:rsidR="00787427" w:rsidRPr="00787427" w:rsidRDefault="00787427" w:rsidP="00592431">
      <w:pPr>
        <w:pStyle w:val="Default"/>
        <w:numPr>
          <w:ilvl w:val="0"/>
          <w:numId w:val="21"/>
        </w:numPr>
        <w:jc w:val="both"/>
        <w:rPr>
          <w:rFonts w:eastAsia="Times New Roman" w:cs="Times New Roman"/>
          <w:color w:val="auto"/>
          <w:sz w:val="20"/>
          <w:szCs w:val="20"/>
          <w:lang w:eastAsia="en-GB"/>
        </w:rPr>
      </w:pPr>
      <w:r w:rsidRPr="00787427">
        <w:rPr>
          <w:rFonts w:eastAsia="Times New Roman" w:cs="Times New Roman"/>
          <w:color w:val="auto"/>
          <w:sz w:val="20"/>
          <w:szCs w:val="20"/>
          <w:lang w:eastAsia="en-GB"/>
        </w:rPr>
        <w:t xml:space="preserve">Excellent planning, organisational and administrative skills. </w:t>
      </w:r>
    </w:p>
    <w:p w:rsidR="00787427" w:rsidRDefault="00787427" w:rsidP="008B6551">
      <w:pPr>
        <w:spacing w:line="276" w:lineRule="auto"/>
        <w:jc w:val="both"/>
      </w:pPr>
    </w:p>
    <w:p w:rsidR="00787427" w:rsidRDefault="00787427" w:rsidP="008B6551">
      <w:pPr>
        <w:tabs>
          <w:tab w:val="num" w:pos="0"/>
        </w:tabs>
        <w:spacing w:line="276" w:lineRule="auto"/>
        <w:jc w:val="both"/>
      </w:pPr>
    </w:p>
    <w:p w:rsidR="00787427" w:rsidRPr="00787427" w:rsidRDefault="00787427" w:rsidP="008B6551">
      <w:pPr>
        <w:tabs>
          <w:tab w:val="num" w:pos="0"/>
        </w:tabs>
        <w:spacing w:line="276" w:lineRule="auto"/>
        <w:jc w:val="both"/>
      </w:pPr>
    </w:p>
    <w:p w:rsidR="001F7E6B" w:rsidRPr="00540219" w:rsidRDefault="001F7E6B" w:rsidP="001F7E6B">
      <w:pPr>
        <w:tabs>
          <w:tab w:val="num" w:pos="0"/>
        </w:tabs>
        <w:spacing w:after="120" w:line="276" w:lineRule="auto"/>
        <w:jc w:val="center"/>
        <w:rPr>
          <w:b/>
          <w:u w:val="single"/>
        </w:rPr>
      </w:pPr>
      <w:r w:rsidRPr="00540219">
        <w:rPr>
          <w:b/>
          <w:u w:val="single"/>
        </w:rPr>
        <w:t>Application Process</w:t>
      </w:r>
    </w:p>
    <w:p w:rsidR="001F7E6B" w:rsidRPr="008B1ABC" w:rsidRDefault="001F7E6B" w:rsidP="008B1ABC">
      <w:pPr>
        <w:spacing w:after="120"/>
        <w:jc w:val="center"/>
        <w:rPr>
          <w:rFonts w:cstheme="minorHAnsi"/>
          <w:b/>
          <w:color w:val="0563C1" w:themeColor="hyperlink"/>
          <w:u w:val="single"/>
        </w:rPr>
      </w:pPr>
      <w:r w:rsidRPr="00540219">
        <w:rPr>
          <w:rFonts w:eastAsia="Calibri"/>
          <w:b/>
          <w:lang w:eastAsia="en-US"/>
        </w:rPr>
        <w:t xml:space="preserve">Please </w:t>
      </w:r>
      <w:r w:rsidR="008B1ABC">
        <w:rPr>
          <w:rFonts w:eastAsia="Calibri"/>
          <w:b/>
          <w:lang w:eastAsia="en-US"/>
        </w:rPr>
        <w:t>submit CV</w:t>
      </w:r>
      <w:r w:rsidRPr="00540219">
        <w:rPr>
          <w:rFonts w:eastAsia="Calibri"/>
          <w:b/>
          <w:lang w:eastAsia="en-US"/>
        </w:rPr>
        <w:t xml:space="preserve"> </w:t>
      </w:r>
      <w:r w:rsidR="008B1ABC">
        <w:rPr>
          <w:rFonts w:eastAsia="Calibri"/>
          <w:b/>
          <w:lang w:eastAsia="en-US"/>
        </w:rPr>
        <w:t xml:space="preserve">and cover letter </w:t>
      </w:r>
      <w:r w:rsidRPr="00540219">
        <w:rPr>
          <w:rFonts w:eastAsia="Calibri"/>
          <w:b/>
          <w:lang w:eastAsia="en-US"/>
        </w:rPr>
        <w:t>to</w:t>
      </w:r>
      <w:r w:rsidRPr="00540219">
        <w:rPr>
          <w:rFonts w:cstheme="minorHAnsi"/>
          <w:b/>
        </w:rPr>
        <w:t xml:space="preserve"> </w:t>
      </w:r>
      <w:hyperlink r:id="rId11" w:history="1">
        <w:r w:rsidRPr="00540219">
          <w:rPr>
            <w:rStyle w:val="Hyperlink"/>
            <w:rFonts w:cstheme="minorHAnsi"/>
            <w:b/>
          </w:rPr>
          <w:t>Human.resources@nsai.ie</w:t>
        </w:r>
      </w:hyperlink>
      <w:r w:rsidR="008B1ABC">
        <w:rPr>
          <w:rStyle w:val="Hyperlink"/>
          <w:rFonts w:cstheme="minorHAnsi"/>
          <w:b/>
        </w:rPr>
        <w:t xml:space="preserve"> </w:t>
      </w:r>
      <w:r w:rsidR="008B1ABC">
        <w:rPr>
          <w:rStyle w:val="Hyperlink"/>
          <w:rFonts w:cstheme="minorHAnsi"/>
          <w:b/>
          <w:color w:val="auto"/>
          <w:u w:val="none"/>
        </w:rPr>
        <w:t>including</w:t>
      </w:r>
      <w:r w:rsidR="008B1ABC" w:rsidRPr="008B1ABC">
        <w:rPr>
          <w:rStyle w:val="Hyperlink"/>
          <w:rFonts w:cstheme="minorHAnsi"/>
          <w:b/>
          <w:color w:val="auto"/>
          <w:u w:val="none"/>
        </w:rPr>
        <w:t xml:space="preserve"> ref no. 22-18</w:t>
      </w:r>
      <w:r w:rsidRPr="008B1ABC">
        <w:rPr>
          <w:rFonts w:cstheme="minorHAnsi"/>
          <w:b/>
        </w:rPr>
        <w:t xml:space="preserve"> </w:t>
      </w:r>
      <w:r w:rsidRPr="00540219">
        <w:rPr>
          <w:rFonts w:eastAsia="Calibri"/>
          <w:b/>
          <w:lang w:eastAsia="en-US"/>
        </w:rPr>
        <w:t xml:space="preserve">no later </w:t>
      </w:r>
      <w:r w:rsidRPr="00F24269">
        <w:rPr>
          <w:rFonts w:eastAsia="Calibri"/>
          <w:b/>
          <w:lang w:eastAsia="en-US"/>
        </w:rPr>
        <w:t>than</w:t>
      </w:r>
      <w:r w:rsidR="008B1ABC">
        <w:rPr>
          <w:rFonts w:eastAsia="Calibri"/>
          <w:b/>
          <w:lang w:eastAsia="en-US"/>
        </w:rPr>
        <w:t xml:space="preserve"> noon </w:t>
      </w:r>
      <w:r w:rsidR="00F444A7">
        <w:rPr>
          <w:rFonts w:eastAsia="Calibri"/>
          <w:b/>
          <w:lang w:eastAsia="en-US"/>
        </w:rPr>
        <w:t>Friday st  February</w:t>
      </w:r>
      <w:r w:rsidR="008B1ABC">
        <w:rPr>
          <w:rFonts w:eastAsia="Calibri"/>
          <w:b/>
          <w:lang w:eastAsia="en-US"/>
        </w:rPr>
        <w:t xml:space="preserve"> 2019</w:t>
      </w:r>
      <w:r w:rsidR="00F24269" w:rsidRPr="00F24269">
        <w:rPr>
          <w:rFonts w:eastAsia="Calibri"/>
          <w:b/>
          <w:lang w:eastAsia="en-US"/>
        </w:rPr>
        <w:t>.</w:t>
      </w:r>
    </w:p>
    <w:p w:rsidR="001F7E6B" w:rsidRDefault="001F7E6B" w:rsidP="001F7E6B">
      <w:pPr>
        <w:spacing w:line="276" w:lineRule="auto"/>
        <w:jc w:val="center"/>
        <w:rPr>
          <w:rFonts w:eastAsia="Calibri"/>
          <w:b/>
          <w:bCs/>
          <w:i/>
          <w:lang w:val="en-IE" w:eastAsia="en-US"/>
        </w:rPr>
      </w:pPr>
      <w:r w:rsidRPr="00540219">
        <w:rPr>
          <w:rFonts w:eastAsia="Calibri"/>
          <w:b/>
          <w:bCs/>
          <w:i/>
          <w:lang w:val="en-IE" w:eastAsia="en-US"/>
        </w:rPr>
        <w:t>NSAI is an equal opportunities employer</w:t>
      </w:r>
    </w:p>
    <w:p w:rsidR="00F24269" w:rsidRDefault="00F24269" w:rsidP="001F7E6B">
      <w:pPr>
        <w:spacing w:line="276" w:lineRule="auto"/>
        <w:jc w:val="center"/>
        <w:rPr>
          <w:rFonts w:eastAsia="Calibri"/>
          <w:b/>
          <w:bCs/>
          <w:i/>
          <w:lang w:val="en-IE" w:eastAsia="en-US"/>
        </w:rPr>
      </w:pPr>
    </w:p>
    <w:p w:rsidR="00787427" w:rsidRDefault="00EC6CB1" w:rsidP="001F7E6B">
      <w:pPr>
        <w:spacing w:line="276" w:lineRule="auto"/>
        <w:jc w:val="center"/>
        <w:rPr>
          <w:rFonts w:eastAsia="Calibri"/>
          <w:b/>
          <w:bCs/>
          <w:i/>
          <w:lang w:val="en-IE" w:eastAsia="en-US"/>
        </w:rPr>
      </w:pPr>
      <w:r w:rsidRPr="00F17A9A">
        <w:rPr>
          <w:rFonts w:eastAsia="Calibri"/>
          <w:sz w:val="18"/>
          <w:szCs w:val="18"/>
          <w:lang w:eastAsia="en-US"/>
        </w:rPr>
        <w:t>Please note in accordance with</w:t>
      </w:r>
      <w:r>
        <w:rPr>
          <w:rFonts w:eastAsia="Calibri"/>
          <w:sz w:val="18"/>
          <w:szCs w:val="18"/>
          <w:lang w:eastAsia="en-US"/>
        </w:rPr>
        <w:t xml:space="preserve"> DPER</w:t>
      </w:r>
      <w:r w:rsidRPr="00F17A9A">
        <w:rPr>
          <w:rFonts w:eastAsia="Calibri"/>
          <w:sz w:val="18"/>
          <w:szCs w:val="18"/>
          <w:lang w:eastAsia="en-US"/>
        </w:rPr>
        <w:t xml:space="preserve"> guideline</w:t>
      </w:r>
      <w:r w:rsidRPr="00CA754B">
        <w:rPr>
          <w:rFonts w:eastAsia="Calibri"/>
          <w:sz w:val="18"/>
          <w:szCs w:val="18"/>
          <w:lang w:eastAsia="en-US"/>
        </w:rPr>
        <w:t xml:space="preserve">s, </w:t>
      </w:r>
      <w:r w:rsidRPr="00F17A9A">
        <w:rPr>
          <w:rFonts w:eastAsia="Calibri"/>
          <w:sz w:val="18"/>
          <w:szCs w:val="18"/>
          <w:lang w:eastAsia="en-US"/>
        </w:rPr>
        <w:t>all new entrants to the public service are appointed on the first point of scale</w:t>
      </w:r>
      <w:r>
        <w:rPr>
          <w:rFonts w:eastAsia="Calibri"/>
          <w:sz w:val="18"/>
          <w:szCs w:val="18"/>
          <w:lang w:eastAsia="en-US"/>
        </w:rPr>
        <w:t>, €77,835.</w:t>
      </w:r>
    </w:p>
    <w:p w:rsidR="008B1ABC" w:rsidRDefault="008B1ABC" w:rsidP="001F7E6B">
      <w:pPr>
        <w:spacing w:line="276" w:lineRule="auto"/>
        <w:jc w:val="center"/>
        <w:rPr>
          <w:rFonts w:eastAsia="Calibri"/>
          <w:b/>
          <w:bCs/>
          <w:i/>
          <w:lang w:val="en-IE" w:eastAsia="en-US"/>
        </w:rPr>
      </w:pPr>
    </w:p>
    <w:p w:rsidR="00CA754B" w:rsidRPr="00CA754B" w:rsidRDefault="00CA754B" w:rsidP="00CA754B">
      <w:pPr>
        <w:spacing w:line="276" w:lineRule="auto"/>
        <w:jc w:val="both"/>
        <w:rPr>
          <w:rFonts w:eastAsia="Calibri"/>
          <w:b/>
          <w:bCs/>
          <w:szCs w:val="22"/>
          <w:u w:val="single"/>
          <w:lang w:val="en-IE" w:eastAsia="en-US"/>
        </w:rPr>
      </w:pPr>
      <w:r w:rsidRPr="00CA754B">
        <w:rPr>
          <w:rFonts w:eastAsia="Calibri"/>
          <w:b/>
          <w:bCs/>
          <w:szCs w:val="22"/>
          <w:u w:val="single"/>
          <w:lang w:val="en-IE" w:eastAsia="en-US"/>
        </w:rPr>
        <w:t>Salary Scale</w:t>
      </w:r>
    </w:p>
    <w:p w:rsidR="00CA754B" w:rsidRPr="00CA754B" w:rsidRDefault="00CA754B" w:rsidP="00CA754B">
      <w:pPr>
        <w:pStyle w:val="NoSpacing"/>
        <w:jc w:val="both"/>
        <w:rPr>
          <w:rFonts w:ascii="Verdana" w:eastAsia="Calibri" w:hAnsi="Verdana"/>
          <w:sz w:val="18"/>
          <w:szCs w:val="18"/>
        </w:rPr>
      </w:pPr>
      <w:r w:rsidRPr="00CA754B">
        <w:rPr>
          <w:rFonts w:ascii="Verdana" w:eastAsia="Calibri" w:hAnsi="Verdana" w:cs="Times New Roman"/>
          <w:b/>
          <w:sz w:val="18"/>
          <w:szCs w:val="18"/>
          <w:u w:val="single"/>
          <w:lang w:val="en-GB"/>
        </w:rPr>
        <w:t>PSO Contributory Salary scale:</w:t>
      </w:r>
      <w:r w:rsidRPr="00CA754B">
        <w:rPr>
          <w:rFonts w:ascii="Verdana" w:eastAsia="Calibri" w:hAnsi="Verdana"/>
          <w:sz w:val="18"/>
          <w:szCs w:val="18"/>
        </w:rPr>
        <w:t xml:space="preserve"> </w:t>
      </w:r>
      <w:bookmarkStart w:id="0" w:name="_Hlk522705800"/>
      <w:r w:rsidRPr="00CA754B">
        <w:rPr>
          <w:rFonts w:ascii="Verdana" w:hAnsi="Verdana"/>
          <w:sz w:val="18"/>
          <w:szCs w:val="18"/>
        </w:rPr>
        <w:t xml:space="preserve">€77,835 (Point 1), </w:t>
      </w:r>
      <w:bookmarkEnd w:id="0"/>
      <w:r w:rsidRPr="00CA754B">
        <w:rPr>
          <w:rFonts w:ascii="Verdana" w:hAnsi="Verdana"/>
          <w:sz w:val="18"/>
          <w:szCs w:val="18"/>
        </w:rPr>
        <w:t xml:space="preserve">€81,826 (Point 2), €85,822 (Point 3), €89,352 (Point 4), €92,862 (Point 5), €96,396 (Point 6), €99,375 (Point 7), €102,463* (LSI 1) &amp; </w:t>
      </w:r>
      <w:bookmarkStart w:id="1" w:name="_Hlk522705824"/>
      <w:r w:rsidRPr="00CA754B">
        <w:rPr>
          <w:rFonts w:ascii="Verdana" w:hAnsi="Verdana"/>
          <w:sz w:val="18"/>
          <w:szCs w:val="18"/>
        </w:rPr>
        <w:t>€105,553* (LSI 2)</w:t>
      </w:r>
      <w:bookmarkEnd w:id="1"/>
      <w:r w:rsidRPr="00CA754B">
        <w:rPr>
          <w:rFonts w:ascii="Verdana" w:hAnsi="Verdana"/>
          <w:sz w:val="18"/>
          <w:szCs w:val="18"/>
        </w:rPr>
        <w:t xml:space="preserve"> </w:t>
      </w:r>
      <w:r w:rsidRPr="00CA754B">
        <w:rPr>
          <w:rFonts w:ascii="Verdana" w:eastAsia="Calibri" w:hAnsi="Verdana"/>
          <w:sz w:val="18"/>
          <w:szCs w:val="18"/>
        </w:rPr>
        <w:t xml:space="preserve">p.a. </w:t>
      </w:r>
    </w:p>
    <w:p w:rsidR="00CA754B" w:rsidRPr="00CA754B" w:rsidRDefault="00CA754B" w:rsidP="00CA754B">
      <w:pPr>
        <w:jc w:val="both"/>
        <w:rPr>
          <w:sz w:val="18"/>
          <w:szCs w:val="18"/>
        </w:rPr>
      </w:pPr>
      <w:r w:rsidRPr="00CA754B">
        <w:rPr>
          <w:rFonts w:eastAsia="Calibri"/>
          <w:b/>
          <w:sz w:val="18"/>
          <w:szCs w:val="18"/>
          <w:u w:val="single"/>
          <w:lang w:eastAsia="en-US"/>
        </w:rPr>
        <w:t>PSO Non-Contributory Salary scale</w:t>
      </w:r>
      <w:r w:rsidRPr="00CA754B">
        <w:rPr>
          <w:rFonts w:eastAsia="Calibri"/>
          <w:b/>
          <w:sz w:val="18"/>
          <w:szCs w:val="18"/>
          <w:lang w:eastAsia="en-US"/>
        </w:rPr>
        <w:t>:</w:t>
      </w:r>
      <w:r w:rsidRPr="00CA754B">
        <w:rPr>
          <w:rFonts w:eastAsia="Calibri"/>
          <w:sz w:val="18"/>
          <w:szCs w:val="18"/>
          <w:lang w:eastAsia="en-US"/>
        </w:rPr>
        <w:t xml:space="preserve"> </w:t>
      </w:r>
      <w:r w:rsidRPr="00CA754B">
        <w:rPr>
          <w:sz w:val="18"/>
          <w:szCs w:val="18"/>
        </w:rPr>
        <w:t>€74,070 (Point 1), €77,862 (Point 2), €81,660 (Point 3), €85,013 (Point 4), €88,347 (Point 5), €91,705 (Point 6), €94,534 (Point 7), €97,468 (LSI 1) &amp; €100,402(LSI 2)</w:t>
      </w:r>
      <w:r w:rsidRPr="00CA754B">
        <w:rPr>
          <w:rFonts w:eastAsia="Calibri"/>
          <w:sz w:val="18"/>
          <w:szCs w:val="18"/>
          <w:lang w:eastAsia="en-US"/>
        </w:rPr>
        <w:t xml:space="preserve"> p.a.  (Only applicable for relevant category of Civil/Public Servants)</w:t>
      </w:r>
    </w:p>
    <w:p w:rsidR="00CA754B" w:rsidRDefault="00CA754B" w:rsidP="00CA754B">
      <w:pPr>
        <w:jc w:val="both"/>
        <w:rPr>
          <w:rFonts w:eastAsia="Calibri"/>
          <w:sz w:val="18"/>
          <w:szCs w:val="18"/>
          <w:lang w:eastAsia="en-US"/>
        </w:rPr>
      </w:pPr>
    </w:p>
    <w:p w:rsidR="00CA754B" w:rsidRPr="00854375" w:rsidRDefault="00CA754B" w:rsidP="00CA754B">
      <w:pPr>
        <w:jc w:val="both"/>
        <w:rPr>
          <w:rFonts w:eastAsia="Calibri"/>
          <w:sz w:val="18"/>
          <w:szCs w:val="18"/>
          <w:lang w:eastAsia="en-US"/>
        </w:rPr>
      </w:pPr>
      <w:r w:rsidRPr="00F17A9A">
        <w:rPr>
          <w:rFonts w:eastAsia="Calibri"/>
          <w:sz w:val="18"/>
          <w:szCs w:val="18"/>
          <w:lang w:eastAsia="en-US"/>
        </w:rPr>
        <w:t>Please note in accordance with</w:t>
      </w:r>
      <w:r>
        <w:rPr>
          <w:rFonts w:eastAsia="Calibri"/>
          <w:sz w:val="18"/>
          <w:szCs w:val="18"/>
          <w:lang w:eastAsia="en-US"/>
        </w:rPr>
        <w:t xml:space="preserve"> DPER</w:t>
      </w:r>
      <w:r w:rsidRPr="00F17A9A">
        <w:rPr>
          <w:rFonts w:eastAsia="Calibri"/>
          <w:sz w:val="18"/>
          <w:szCs w:val="18"/>
          <w:lang w:eastAsia="en-US"/>
        </w:rPr>
        <w:t xml:space="preserve"> guideline</w:t>
      </w:r>
      <w:r w:rsidRPr="00CA754B">
        <w:rPr>
          <w:rFonts w:eastAsia="Calibri"/>
          <w:sz w:val="18"/>
          <w:szCs w:val="18"/>
          <w:lang w:eastAsia="en-US"/>
        </w:rPr>
        <w:t xml:space="preserve">s, </w:t>
      </w:r>
      <w:r w:rsidRPr="00F17A9A">
        <w:rPr>
          <w:rFonts w:eastAsia="Calibri"/>
          <w:sz w:val="18"/>
          <w:szCs w:val="18"/>
          <w:lang w:eastAsia="en-US"/>
        </w:rPr>
        <w:t>all new entrants to the public service are appointed on the first point of scale.</w:t>
      </w:r>
      <w:r>
        <w:rPr>
          <w:rFonts w:eastAsia="Calibri"/>
          <w:sz w:val="18"/>
          <w:szCs w:val="18"/>
          <w:lang w:eastAsia="en-US"/>
        </w:rPr>
        <w:t xml:space="preserve">  </w:t>
      </w:r>
      <w:r w:rsidRPr="00854375">
        <w:rPr>
          <w:rFonts w:eastAsia="Calibri"/>
          <w:sz w:val="18"/>
          <w:szCs w:val="18"/>
          <w:lang w:eastAsia="en-US"/>
        </w:rPr>
        <w:t>Salary implications for existing Civil/Public servants should be queried with HR Unit, NSAI.</w:t>
      </w:r>
    </w:p>
    <w:p w:rsidR="00CA754B" w:rsidRDefault="00CA754B" w:rsidP="00CA754B">
      <w:pPr>
        <w:jc w:val="both"/>
        <w:rPr>
          <w:rFonts w:eastAsia="Calibri"/>
          <w:sz w:val="18"/>
          <w:szCs w:val="18"/>
          <w:lang w:eastAsia="en-US"/>
        </w:rPr>
      </w:pPr>
      <w:r w:rsidRPr="00F17A9A">
        <w:rPr>
          <w:rFonts w:eastAsia="Calibri"/>
          <w:sz w:val="18"/>
          <w:szCs w:val="18"/>
          <w:lang w:eastAsia="en-US"/>
        </w:rPr>
        <w:t xml:space="preserve">All appointments are made in accordance with </w:t>
      </w:r>
      <w:r w:rsidRPr="00854375">
        <w:rPr>
          <w:rFonts w:eastAsia="Calibri"/>
          <w:sz w:val="18"/>
          <w:szCs w:val="18"/>
          <w:lang w:eastAsia="en-US"/>
        </w:rPr>
        <w:t xml:space="preserve">Dept. of Finance &amp; Expenditure </w:t>
      </w:r>
      <w:r w:rsidRPr="00F17A9A">
        <w:rPr>
          <w:rFonts w:eastAsia="Calibri"/>
          <w:sz w:val="18"/>
          <w:szCs w:val="18"/>
          <w:lang w:eastAsia="en-US"/>
        </w:rPr>
        <w:t>guidelines.</w:t>
      </w:r>
    </w:p>
    <w:p w:rsidR="00CA754B" w:rsidRPr="00D0223B" w:rsidRDefault="00CA754B" w:rsidP="00CA754B">
      <w:pPr>
        <w:jc w:val="both"/>
        <w:rPr>
          <w:rFonts w:eastAsia="Calibri"/>
          <w:sz w:val="18"/>
          <w:szCs w:val="18"/>
          <w:lang w:eastAsia="en-US"/>
        </w:rPr>
      </w:pPr>
      <w:bookmarkStart w:id="2" w:name="_Hlk524518956"/>
      <w:r>
        <w:t>*</w:t>
      </w:r>
      <w:r w:rsidRPr="00D0223B">
        <w:rPr>
          <w:rFonts w:eastAsia="Calibri"/>
          <w:sz w:val="18"/>
          <w:szCs w:val="18"/>
          <w:lang w:eastAsia="en-US"/>
        </w:rPr>
        <w:t>increment point is applicable after 3 years</w:t>
      </w:r>
      <w:r>
        <w:rPr>
          <w:rFonts w:eastAsia="Calibri"/>
          <w:sz w:val="18"/>
          <w:szCs w:val="18"/>
          <w:lang w:eastAsia="en-US"/>
        </w:rPr>
        <w:t>’ service</w:t>
      </w:r>
      <w:r w:rsidRPr="00D0223B">
        <w:rPr>
          <w:rFonts w:eastAsia="Calibri"/>
          <w:sz w:val="18"/>
          <w:szCs w:val="18"/>
          <w:lang w:eastAsia="en-US"/>
        </w:rPr>
        <w:t xml:space="preserve"> on the previous</w:t>
      </w:r>
      <w:r>
        <w:rPr>
          <w:rFonts w:eastAsia="Calibri"/>
          <w:sz w:val="18"/>
          <w:szCs w:val="18"/>
          <w:lang w:eastAsia="en-US"/>
        </w:rPr>
        <w:t xml:space="preserve"> point on scale.</w:t>
      </w:r>
      <w:r w:rsidRPr="00D0223B">
        <w:rPr>
          <w:rFonts w:eastAsia="Calibri"/>
          <w:sz w:val="18"/>
          <w:szCs w:val="18"/>
          <w:lang w:eastAsia="en-US"/>
        </w:rPr>
        <w:t xml:space="preserve"> </w:t>
      </w:r>
    </w:p>
    <w:bookmarkEnd w:id="2"/>
    <w:p w:rsidR="00CA754B" w:rsidRDefault="00CA754B" w:rsidP="00CA754B">
      <w:pPr>
        <w:spacing w:line="276" w:lineRule="auto"/>
        <w:jc w:val="both"/>
        <w:rPr>
          <w:rFonts w:ascii="Calibri" w:eastAsia="Calibri" w:hAnsi="Calibri"/>
          <w:b/>
          <w:bCs/>
          <w:sz w:val="22"/>
          <w:szCs w:val="22"/>
          <w:u w:val="single"/>
          <w:lang w:val="en-IE" w:eastAsia="en-US"/>
        </w:rPr>
      </w:pPr>
    </w:p>
    <w:p w:rsidR="00CA754B" w:rsidRPr="00F17A9A" w:rsidRDefault="00CA754B" w:rsidP="00CA754B">
      <w:pPr>
        <w:spacing w:line="276" w:lineRule="auto"/>
        <w:jc w:val="both"/>
        <w:rPr>
          <w:rFonts w:ascii="Calibri" w:eastAsia="Calibri" w:hAnsi="Calibri"/>
          <w:b/>
          <w:bCs/>
          <w:sz w:val="22"/>
          <w:szCs w:val="22"/>
          <w:u w:val="single"/>
          <w:lang w:val="en-IE" w:eastAsia="en-US"/>
        </w:rPr>
      </w:pPr>
      <w:r>
        <w:rPr>
          <w:rFonts w:ascii="Calibri" w:eastAsia="Calibri" w:hAnsi="Calibri"/>
          <w:b/>
          <w:bCs/>
          <w:sz w:val="22"/>
          <w:szCs w:val="22"/>
          <w:u w:val="single"/>
          <w:lang w:val="en-IE" w:eastAsia="en-US"/>
        </w:rPr>
        <w:t>Superannuation and R</w:t>
      </w:r>
      <w:r w:rsidRPr="00F17A9A">
        <w:rPr>
          <w:rFonts w:ascii="Calibri" w:eastAsia="Calibri" w:hAnsi="Calibri"/>
          <w:b/>
          <w:bCs/>
          <w:sz w:val="22"/>
          <w:szCs w:val="22"/>
          <w:u w:val="single"/>
          <w:lang w:val="en-IE" w:eastAsia="en-US"/>
        </w:rPr>
        <w:t xml:space="preserve">etirement </w:t>
      </w:r>
    </w:p>
    <w:p w:rsidR="00CA754B" w:rsidRPr="00F17A9A" w:rsidRDefault="00CA754B" w:rsidP="00CA754B">
      <w:pPr>
        <w:jc w:val="both"/>
        <w:rPr>
          <w:rFonts w:eastAsia="Calibri"/>
          <w:sz w:val="18"/>
          <w:szCs w:val="18"/>
          <w:lang w:eastAsia="en-US"/>
        </w:rPr>
      </w:pPr>
      <w:r w:rsidRPr="00F17A9A">
        <w:rPr>
          <w:rFonts w:eastAsia="Calibri"/>
          <w:sz w:val="18"/>
          <w:szCs w:val="18"/>
          <w:lang w:eastAsia="en-US"/>
        </w:rPr>
        <w:t xml:space="preserve">The appointee will be offered public service pension terms and retirement age conditions in accordance with pension arrangements in NSAI depending on the status of the successful appointee:     </w:t>
      </w:r>
    </w:p>
    <w:p w:rsidR="00CA754B" w:rsidRPr="00F17A9A" w:rsidRDefault="00CA754B" w:rsidP="00CA754B">
      <w:pPr>
        <w:jc w:val="both"/>
        <w:rPr>
          <w:rFonts w:eastAsia="Calibri"/>
          <w:sz w:val="18"/>
          <w:szCs w:val="18"/>
          <w:lang w:eastAsia="en-US"/>
        </w:rPr>
      </w:pPr>
      <w:proofErr w:type="gramStart"/>
      <w:r w:rsidRPr="00F17A9A">
        <w:rPr>
          <w:rFonts w:eastAsia="Calibri"/>
          <w:sz w:val="18"/>
          <w:szCs w:val="18"/>
          <w:lang w:eastAsia="en-US"/>
        </w:rPr>
        <w:t>a)In</w:t>
      </w:r>
      <w:proofErr w:type="gramEnd"/>
      <w:r w:rsidRPr="00F17A9A">
        <w:rPr>
          <w:rFonts w:eastAsia="Calibri"/>
          <w:sz w:val="18"/>
          <w:szCs w:val="18"/>
          <w:lang w:eastAsia="en-US"/>
        </w:rPr>
        <w:t xml:space="preserve">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w:t>
      </w:r>
    </w:p>
    <w:p w:rsidR="00CA754B" w:rsidRPr="00F17A9A" w:rsidRDefault="00CA754B" w:rsidP="00CA754B">
      <w:pPr>
        <w:jc w:val="both"/>
        <w:rPr>
          <w:rFonts w:eastAsia="Calibri"/>
          <w:sz w:val="18"/>
          <w:szCs w:val="18"/>
          <w:lang w:eastAsia="en-US"/>
        </w:rPr>
      </w:pPr>
      <w:r w:rsidRPr="00F17A9A">
        <w:rPr>
          <w:rFonts w:eastAsia="Calibri"/>
          <w:sz w:val="18"/>
          <w:szCs w:val="18"/>
          <w:lang w:eastAsia="en-US"/>
        </w:rPr>
        <w:t>b)</w:t>
      </w:r>
      <w:r>
        <w:rPr>
          <w:rFonts w:eastAsia="Calibri"/>
          <w:sz w:val="18"/>
          <w:szCs w:val="18"/>
          <w:lang w:eastAsia="en-US"/>
        </w:rPr>
        <w:t xml:space="preserve"> </w:t>
      </w:r>
      <w:r w:rsidRPr="00F17A9A">
        <w:rPr>
          <w:rFonts w:eastAsia="Calibri"/>
          <w:sz w:val="18"/>
          <w:szCs w:val="18"/>
          <w:lang w:eastAsia="en-US"/>
        </w:rPr>
        <w:t xml:space="preserve">An individual who was a member of a “pre-existing public service pension scheme” as construed by the Public Service Pensions (Single Scheme and Other Provisions) Act 2012 and who does not qualify for membership of the Single Scheme will have standard public service pension terms reflecting new entrant or non-new entrant status for the purposes of the Public Service Superannuation (Miscellaneous Provisions) Act 2004.   </w:t>
      </w:r>
    </w:p>
    <w:p w:rsidR="00CA754B" w:rsidRPr="00F17A9A" w:rsidRDefault="00CA754B" w:rsidP="00CA754B">
      <w:pPr>
        <w:jc w:val="both"/>
        <w:rPr>
          <w:rFonts w:eastAsia="Calibri"/>
          <w:sz w:val="18"/>
          <w:szCs w:val="18"/>
          <w:lang w:eastAsia="en-US"/>
        </w:rPr>
      </w:pPr>
      <w:r w:rsidRPr="00F17A9A">
        <w:rPr>
          <w:rFonts w:eastAsia="Calibri"/>
          <w:sz w:val="18"/>
          <w:szCs w:val="18"/>
          <w:lang w:eastAsia="en-US"/>
        </w:rPr>
        <w:t>   </w:t>
      </w:r>
    </w:p>
    <w:p w:rsidR="00CA754B" w:rsidRPr="00F17A9A" w:rsidRDefault="00CA754B" w:rsidP="00CA754B">
      <w:pPr>
        <w:spacing w:line="276" w:lineRule="auto"/>
        <w:jc w:val="both"/>
        <w:rPr>
          <w:rFonts w:ascii="Calibri" w:eastAsia="Calibri" w:hAnsi="Calibri"/>
          <w:b/>
          <w:bCs/>
          <w:sz w:val="22"/>
          <w:szCs w:val="22"/>
          <w:u w:val="single"/>
          <w:lang w:val="en-IE" w:eastAsia="en-US"/>
        </w:rPr>
      </w:pPr>
      <w:r w:rsidRPr="00F17A9A">
        <w:rPr>
          <w:rFonts w:ascii="Calibri" w:eastAsia="Calibri" w:hAnsi="Calibri"/>
          <w:b/>
          <w:bCs/>
          <w:sz w:val="22"/>
          <w:szCs w:val="22"/>
          <w:u w:val="single"/>
          <w:lang w:val="en-IE" w:eastAsia="en-US"/>
        </w:rPr>
        <w:t xml:space="preserve">Appointee’s status for superannuation purposes </w:t>
      </w:r>
    </w:p>
    <w:p w:rsidR="00CA754B" w:rsidRPr="00F17A9A" w:rsidRDefault="00CA754B" w:rsidP="00CA754B">
      <w:pPr>
        <w:jc w:val="both"/>
        <w:rPr>
          <w:rFonts w:eastAsia="Calibri"/>
          <w:sz w:val="18"/>
          <w:szCs w:val="18"/>
          <w:lang w:eastAsia="en-US"/>
        </w:rPr>
      </w:pPr>
      <w:r w:rsidRPr="00F17A9A">
        <w:rPr>
          <w:rFonts w:eastAsia="Calibri"/>
          <w:sz w:val="18"/>
          <w:szCs w:val="18"/>
          <w:lang w:eastAsia="en-US"/>
        </w:rPr>
        <w:t xml:space="preserve">Appointees will be required to disclose their full public service history. Details of the appropriate superannuation provisions will be provided upon determination of appointee’s status.   The following points should be noted: </w:t>
      </w:r>
    </w:p>
    <w:p w:rsidR="00CA754B" w:rsidRPr="00F17A9A" w:rsidRDefault="00CA754B" w:rsidP="00CA754B">
      <w:pPr>
        <w:jc w:val="both"/>
        <w:rPr>
          <w:rFonts w:eastAsia="Calibri"/>
          <w:sz w:val="18"/>
          <w:szCs w:val="18"/>
          <w:lang w:eastAsia="en-US"/>
        </w:rPr>
      </w:pPr>
    </w:p>
    <w:p w:rsidR="00CA754B" w:rsidRPr="00F17A9A" w:rsidRDefault="00CA754B" w:rsidP="00CA754B">
      <w:pPr>
        <w:spacing w:line="276" w:lineRule="auto"/>
        <w:jc w:val="both"/>
        <w:rPr>
          <w:rFonts w:ascii="Calibri" w:eastAsia="Calibri" w:hAnsi="Calibri"/>
          <w:b/>
          <w:bCs/>
          <w:sz w:val="22"/>
          <w:szCs w:val="22"/>
          <w:u w:val="single"/>
          <w:lang w:val="en-IE" w:eastAsia="en-US"/>
        </w:rPr>
      </w:pPr>
      <w:r w:rsidRPr="00F17A9A">
        <w:rPr>
          <w:rFonts w:ascii="Calibri" w:eastAsia="Calibri" w:hAnsi="Calibri"/>
          <w:b/>
          <w:bCs/>
          <w:sz w:val="22"/>
          <w:szCs w:val="22"/>
          <w:u w:val="single"/>
          <w:lang w:val="en-IE" w:eastAsia="en-US"/>
        </w:rPr>
        <w:t xml:space="preserve">Pension Accrual: </w:t>
      </w:r>
    </w:p>
    <w:p w:rsidR="00CA754B" w:rsidRPr="00F17A9A" w:rsidRDefault="00CA754B" w:rsidP="00CA754B">
      <w:pPr>
        <w:jc w:val="both"/>
        <w:rPr>
          <w:rFonts w:eastAsia="Calibri"/>
          <w:sz w:val="18"/>
          <w:szCs w:val="18"/>
          <w:lang w:eastAsia="en-US"/>
        </w:rPr>
      </w:pPr>
      <w:r w:rsidRPr="00F17A9A">
        <w:rPr>
          <w:rFonts w:eastAsia="Calibri"/>
          <w:sz w:val="18"/>
          <w:szCs w:val="18"/>
          <w:lang w:eastAsia="en-US"/>
        </w:rPr>
        <w:t xml:space="preserve"> A 40-year limit on total service that can be counted towards pension where a person has been a member of more than one existing public service pension scheme will apply.  This 40-year limit, which is provided for in the Public Service Pensions (Single Scheme and other Provisions) Act 2012 came into effect on 28 July 2012.  This may have implications for any appointee who has acquired pension rights in a previous public service employment. </w:t>
      </w:r>
    </w:p>
    <w:p w:rsidR="00CA754B" w:rsidRPr="00F17A9A" w:rsidRDefault="00CA754B" w:rsidP="00CA754B">
      <w:pPr>
        <w:jc w:val="both"/>
        <w:rPr>
          <w:rFonts w:eastAsia="Calibri"/>
          <w:sz w:val="18"/>
          <w:szCs w:val="18"/>
          <w:lang w:eastAsia="en-US"/>
        </w:rPr>
      </w:pPr>
    </w:p>
    <w:p w:rsidR="00CA754B" w:rsidRPr="00F17A9A" w:rsidRDefault="00CA754B" w:rsidP="00CA754B">
      <w:pPr>
        <w:spacing w:line="276" w:lineRule="auto"/>
        <w:jc w:val="both"/>
        <w:rPr>
          <w:rFonts w:ascii="Calibri" w:eastAsia="Calibri" w:hAnsi="Calibri"/>
          <w:b/>
          <w:bCs/>
          <w:sz w:val="22"/>
          <w:szCs w:val="22"/>
          <w:u w:val="single"/>
          <w:lang w:val="en-IE" w:eastAsia="en-US"/>
        </w:rPr>
      </w:pPr>
      <w:r w:rsidRPr="00F17A9A">
        <w:rPr>
          <w:rFonts w:ascii="Calibri" w:eastAsia="Calibri" w:hAnsi="Calibri"/>
          <w:b/>
          <w:bCs/>
          <w:sz w:val="22"/>
          <w:szCs w:val="22"/>
          <w:u w:val="single"/>
          <w:lang w:val="en-IE" w:eastAsia="en-US"/>
        </w:rPr>
        <w:t xml:space="preserve">Pension Abatement </w:t>
      </w:r>
    </w:p>
    <w:p w:rsidR="00CA754B" w:rsidRPr="00F17A9A" w:rsidRDefault="00CA754B" w:rsidP="00CA754B">
      <w:pPr>
        <w:jc w:val="both"/>
        <w:rPr>
          <w:rFonts w:eastAsia="Calibri"/>
          <w:sz w:val="18"/>
          <w:szCs w:val="18"/>
          <w:lang w:eastAsia="en-US"/>
        </w:rPr>
      </w:pPr>
      <w:r w:rsidRPr="00F17A9A">
        <w:rPr>
          <w:rFonts w:eastAsia="Calibri"/>
          <w:sz w:val="18"/>
          <w:szCs w:val="18"/>
          <w:lang w:eastAsia="en-US"/>
        </w:rPr>
        <w:t>The Public Service Pensions (Single Scheme and Other Provisions) Act 2012 extended pension abatement so that a retiree’s public service pension is liable to abatement on re-entering public service employment, even where the new employment is in a different area of the public service.  However, if the appointee was previously employed in the Civil Service and awarded a pension under voluntary early retirement arrangements (other than the Incentivised Scheme of Early Retirement (ISER) or the Health Service Executive VER/VRS which render a person ineligible for the competition) the entitlement to payment of that pension will cease with effect from the date of reappointment.</w:t>
      </w:r>
    </w:p>
    <w:p w:rsidR="00CA754B" w:rsidRPr="00F17A9A" w:rsidRDefault="00CA754B" w:rsidP="00CA754B">
      <w:pPr>
        <w:jc w:val="both"/>
        <w:rPr>
          <w:rFonts w:eastAsia="Calibri"/>
          <w:sz w:val="18"/>
          <w:szCs w:val="18"/>
          <w:lang w:eastAsia="en-US"/>
        </w:rPr>
      </w:pPr>
    </w:p>
    <w:p w:rsidR="00CA754B" w:rsidRPr="00F17A9A" w:rsidRDefault="00CA754B" w:rsidP="00CA754B">
      <w:pPr>
        <w:spacing w:line="276" w:lineRule="auto"/>
        <w:jc w:val="both"/>
        <w:rPr>
          <w:rFonts w:ascii="Calibri" w:eastAsia="Calibri" w:hAnsi="Calibri"/>
          <w:b/>
          <w:bCs/>
          <w:sz w:val="22"/>
          <w:szCs w:val="22"/>
          <w:u w:val="single"/>
          <w:lang w:val="en-IE" w:eastAsia="en-US"/>
        </w:rPr>
      </w:pPr>
      <w:r w:rsidRPr="00F17A9A">
        <w:rPr>
          <w:rFonts w:ascii="Calibri" w:eastAsia="Calibri" w:hAnsi="Calibri"/>
          <w:b/>
          <w:bCs/>
          <w:sz w:val="22"/>
          <w:szCs w:val="22"/>
          <w:u w:val="single"/>
          <w:lang w:val="en-IE" w:eastAsia="en-US"/>
        </w:rPr>
        <w:t xml:space="preserve">Ill-Health Retirement </w:t>
      </w:r>
    </w:p>
    <w:p w:rsidR="00CA754B" w:rsidRPr="00F17A9A" w:rsidRDefault="00CA754B" w:rsidP="00CA754B">
      <w:pPr>
        <w:jc w:val="both"/>
        <w:rPr>
          <w:rFonts w:eastAsia="Calibri"/>
          <w:sz w:val="18"/>
          <w:szCs w:val="18"/>
          <w:lang w:eastAsia="en-US"/>
        </w:rPr>
      </w:pPr>
      <w:r w:rsidRPr="00F17A9A">
        <w:rPr>
          <w:rFonts w:eastAsia="Calibri"/>
          <w:sz w:val="18"/>
          <w:szCs w:val="18"/>
          <w:lang w:eastAsia="en-US"/>
        </w:rPr>
        <w:t>Please note that where an individual has retired from a Civil/Public Service body on the grounds of ill-health his/her pension from that employment may be subject to review in accordance with the rules of ill-health retirement within the pension scheme of that employment.</w:t>
      </w:r>
    </w:p>
    <w:p w:rsidR="00CA754B" w:rsidRPr="00F17A9A" w:rsidRDefault="00CA754B" w:rsidP="00CA754B">
      <w:pPr>
        <w:jc w:val="both"/>
        <w:rPr>
          <w:rFonts w:eastAsia="Calibri"/>
          <w:sz w:val="18"/>
          <w:szCs w:val="18"/>
          <w:lang w:eastAsia="en-US"/>
        </w:rPr>
      </w:pPr>
    </w:p>
    <w:p w:rsidR="00CA754B" w:rsidRPr="00F17A9A" w:rsidRDefault="00CA754B" w:rsidP="00CA754B">
      <w:pPr>
        <w:spacing w:line="276" w:lineRule="auto"/>
        <w:jc w:val="both"/>
        <w:rPr>
          <w:rFonts w:ascii="Calibri" w:eastAsia="Calibri" w:hAnsi="Calibri"/>
          <w:b/>
          <w:bCs/>
          <w:sz w:val="22"/>
          <w:szCs w:val="22"/>
          <w:u w:val="single"/>
          <w:lang w:val="en-IE" w:eastAsia="en-US"/>
        </w:rPr>
      </w:pPr>
      <w:r w:rsidRPr="00F17A9A">
        <w:rPr>
          <w:rFonts w:ascii="Calibri" w:eastAsia="Calibri" w:hAnsi="Calibri"/>
          <w:b/>
          <w:bCs/>
          <w:sz w:val="22"/>
          <w:szCs w:val="22"/>
          <w:u w:val="single"/>
          <w:lang w:val="en-IE" w:eastAsia="en-US"/>
        </w:rPr>
        <w:t xml:space="preserve">Pension Related Deduction </w:t>
      </w:r>
    </w:p>
    <w:p w:rsidR="00CA754B" w:rsidRPr="00F17A9A" w:rsidRDefault="00CA754B" w:rsidP="00CA754B">
      <w:pPr>
        <w:jc w:val="both"/>
        <w:rPr>
          <w:rFonts w:eastAsia="Calibri"/>
          <w:sz w:val="18"/>
          <w:szCs w:val="18"/>
          <w:lang w:eastAsia="en-US"/>
        </w:rPr>
      </w:pPr>
      <w:r w:rsidRPr="00F17A9A">
        <w:rPr>
          <w:rFonts w:eastAsia="Calibri"/>
          <w:sz w:val="18"/>
          <w:szCs w:val="18"/>
          <w:lang w:eastAsia="en-US"/>
        </w:rPr>
        <w:t xml:space="preserve">This appointment is subject to the pension-related deduction in accordance with the Financial Emergency Measures in the Public Interest Act 2009. </w:t>
      </w:r>
    </w:p>
    <w:p w:rsidR="00787427" w:rsidRPr="00CA754B" w:rsidRDefault="00CA754B" w:rsidP="00CA754B">
      <w:pPr>
        <w:jc w:val="both"/>
        <w:rPr>
          <w:rFonts w:eastAsia="Calibri"/>
          <w:sz w:val="18"/>
          <w:szCs w:val="18"/>
          <w:lang w:eastAsia="en-US"/>
        </w:rPr>
      </w:pPr>
      <w:r w:rsidRPr="00F17A9A">
        <w:rPr>
          <w:rFonts w:eastAsia="Calibri"/>
          <w:sz w:val="18"/>
          <w:szCs w:val="18"/>
          <w:lang w:eastAsia="en-US"/>
        </w:rPr>
        <w:t xml:space="preserve">For further information in relation to public service superannuation issues please see the following website: </w:t>
      </w:r>
      <w:hyperlink r:id="rId12" w:history="1">
        <w:r w:rsidRPr="00F17A9A">
          <w:rPr>
            <w:rFonts w:eastAsia="Calibri"/>
            <w:color w:val="0563C1"/>
            <w:sz w:val="18"/>
            <w:szCs w:val="18"/>
            <w:u w:val="single"/>
            <w:lang w:eastAsia="en-US"/>
          </w:rPr>
          <w:t>http://per.gov.ie/pensions</w:t>
        </w:r>
      </w:hyperlink>
      <w:r w:rsidRPr="00F17A9A">
        <w:rPr>
          <w:rFonts w:eastAsia="Calibri"/>
          <w:sz w:val="18"/>
          <w:szCs w:val="18"/>
          <w:lang w:val="en-IE" w:eastAsia="en-US"/>
        </w:rPr>
        <w:t xml:space="preserve"> </w:t>
      </w:r>
    </w:p>
    <w:sectPr w:rsidR="00787427" w:rsidRPr="00CA754B" w:rsidSect="00CA754B">
      <w:headerReference w:type="default" r:id="rId13"/>
      <w:footerReference w:type="default" r:id="rId14"/>
      <w:pgSz w:w="11906" w:h="16838"/>
      <w:pgMar w:top="1818" w:right="1440" w:bottom="1134" w:left="1440" w:header="142"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EE2" w:rsidRDefault="00DC4EE2" w:rsidP="001D75BA">
      <w:r>
        <w:separator/>
      </w:r>
    </w:p>
  </w:endnote>
  <w:endnote w:type="continuationSeparator" w:id="0">
    <w:p w:rsidR="00DC4EE2" w:rsidRDefault="00DC4EE2" w:rsidP="001D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5BA" w:rsidRPr="009B1089" w:rsidRDefault="001D75BA">
    <w:pPr>
      <w:pStyle w:val="Footer"/>
      <w:rPr>
        <w:sz w:val="18"/>
        <w:szCs w:val="18"/>
        <w:lang w:val="en-IE"/>
      </w:rPr>
    </w:pPr>
    <w:r w:rsidRPr="009B1089">
      <w:rPr>
        <w:sz w:val="18"/>
        <w:szCs w:val="18"/>
        <w:lang w:val="en-IE"/>
      </w:rPr>
      <w:t>Human Resources</w:t>
    </w:r>
    <w:r w:rsidR="009B1089">
      <w:rPr>
        <w:sz w:val="18"/>
        <w:szCs w:val="18"/>
        <w:lang w:val="en-IE"/>
      </w:rPr>
      <w:t xml:space="preserve">                              </w:t>
    </w:r>
    <w:r w:rsidRPr="009B1089">
      <w:rPr>
        <w:sz w:val="18"/>
        <w:szCs w:val="18"/>
        <w:lang w:val="en-IE"/>
      </w:rPr>
      <w:tab/>
    </w:r>
    <w:r w:rsidR="0039069C" w:rsidRPr="009B1089">
      <w:rPr>
        <w:sz w:val="18"/>
        <w:szCs w:val="18"/>
        <w:lang w:val="en-IE"/>
      </w:rPr>
      <w:t>Job Description</w:t>
    </w:r>
    <w:r w:rsidR="00464B5F">
      <w:rPr>
        <w:sz w:val="18"/>
        <w:szCs w:val="18"/>
        <w:lang w:val="en-IE"/>
      </w:rPr>
      <w:t xml:space="preserve"> </w:t>
    </w:r>
    <w:r w:rsidR="009B1089" w:rsidRPr="009B1089">
      <w:rPr>
        <w:sz w:val="18"/>
        <w:szCs w:val="18"/>
        <w:lang w:val="en-IE"/>
      </w:rPr>
      <w:t xml:space="preserve">– </w:t>
    </w:r>
    <w:r w:rsidR="001D56DE">
      <w:rPr>
        <w:sz w:val="18"/>
        <w:szCs w:val="18"/>
        <w:lang w:val="en-IE"/>
      </w:rPr>
      <w:t>2</w:t>
    </w:r>
    <w:r w:rsidR="004247DA">
      <w:rPr>
        <w:sz w:val="18"/>
        <w:szCs w:val="18"/>
        <w:lang w:val="en-IE"/>
      </w:rPr>
      <w:t>2</w:t>
    </w:r>
    <w:r w:rsidR="000570CE">
      <w:rPr>
        <w:sz w:val="18"/>
        <w:szCs w:val="18"/>
        <w:lang w:val="en-IE"/>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EE2" w:rsidRDefault="00DC4EE2" w:rsidP="001D75BA">
      <w:r>
        <w:separator/>
      </w:r>
    </w:p>
  </w:footnote>
  <w:footnote w:type="continuationSeparator" w:id="0">
    <w:p w:rsidR="00DC4EE2" w:rsidRDefault="00DC4EE2" w:rsidP="001D7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5BA" w:rsidRDefault="001D75BA">
    <w:pPr>
      <w:pStyle w:val="Header"/>
    </w:pPr>
    <w:r w:rsidRPr="00CB4DDE">
      <w:rPr>
        <w:noProof/>
        <w:lang w:val="en-IE" w:eastAsia="en-IE"/>
      </w:rPr>
      <w:drawing>
        <wp:inline distT="0" distB="0" distL="0" distR="0" wp14:anchorId="7CF9AF14" wp14:editId="11BE8CB8">
          <wp:extent cx="2209800" cy="989990"/>
          <wp:effectExtent l="0" t="0" r="0" b="635"/>
          <wp:docPr id="8" name="Picture 8" descr="NSAI_Primary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AI_Primary_Col"/>
                  <pic:cNvPicPr>
                    <a:picLocks noChangeAspect="1" noChangeArrowheads="1"/>
                  </pic:cNvPicPr>
                </pic:nvPicPr>
                <pic:blipFill>
                  <a:blip r:embed="rId1" cstate="print"/>
                  <a:srcRect l="8002" t="8948" b="14912"/>
                  <a:stretch>
                    <a:fillRect/>
                  </a:stretch>
                </pic:blipFill>
                <pic:spPr bwMode="auto">
                  <a:xfrm>
                    <a:off x="0" y="0"/>
                    <a:ext cx="2226405" cy="99742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1F4"/>
    <w:multiLevelType w:val="hybridMultilevel"/>
    <w:tmpl w:val="07F6ED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1F2728A"/>
    <w:multiLevelType w:val="hybridMultilevel"/>
    <w:tmpl w:val="CEA29E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4406C7E"/>
    <w:multiLevelType w:val="hybridMultilevel"/>
    <w:tmpl w:val="C20A72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4EA4D89"/>
    <w:multiLevelType w:val="singleLevel"/>
    <w:tmpl w:val="884A16EC"/>
    <w:lvl w:ilvl="0">
      <w:start w:val="1"/>
      <w:numFmt w:val="bullet"/>
      <w:lvlText w:val=""/>
      <w:lvlJc w:val="left"/>
      <w:pPr>
        <w:tabs>
          <w:tab w:val="num" w:pos="360"/>
        </w:tabs>
        <w:ind w:left="360" w:hanging="360"/>
      </w:pPr>
      <w:rPr>
        <w:rFonts w:ascii="Symbol" w:hAnsi="Symbol" w:hint="default"/>
        <w:sz w:val="22"/>
      </w:rPr>
    </w:lvl>
  </w:abstractNum>
  <w:abstractNum w:abstractNumId="4" w15:restartNumberingAfterBreak="0">
    <w:nsid w:val="291A75BC"/>
    <w:multiLevelType w:val="hybridMultilevel"/>
    <w:tmpl w:val="F49243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9502D80"/>
    <w:multiLevelType w:val="hybridMultilevel"/>
    <w:tmpl w:val="70C21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F71BE1"/>
    <w:multiLevelType w:val="hybridMultilevel"/>
    <w:tmpl w:val="55BC92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C5001E9"/>
    <w:multiLevelType w:val="singleLevel"/>
    <w:tmpl w:val="884A16EC"/>
    <w:lvl w:ilvl="0">
      <w:start w:val="1"/>
      <w:numFmt w:val="bullet"/>
      <w:lvlText w:val=""/>
      <w:lvlJc w:val="left"/>
      <w:pPr>
        <w:tabs>
          <w:tab w:val="num" w:pos="360"/>
        </w:tabs>
        <w:ind w:left="360" w:hanging="360"/>
      </w:pPr>
      <w:rPr>
        <w:rFonts w:ascii="Symbol" w:hAnsi="Symbol" w:hint="default"/>
        <w:sz w:val="22"/>
      </w:rPr>
    </w:lvl>
  </w:abstractNum>
  <w:abstractNum w:abstractNumId="8" w15:restartNumberingAfterBreak="0">
    <w:nsid w:val="3E9A683D"/>
    <w:multiLevelType w:val="singleLevel"/>
    <w:tmpl w:val="884A16EC"/>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416D3382"/>
    <w:multiLevelType w:val="singleLevel"/>
    <w:tmpl w:val="884A16EC"/>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451F7D8D"/>
    <w:multiLevelType w:val="hybridMultilevel"/>
    <w:tmpl w:val="EE9089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95C0A6C"/>
    <w:multiLevelType w:val="hybridMultilevel"/>
    <w:tmpl w:val="D334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C802F5"/>
    <w:multiLevelType w:val="singleLevel"/>
    <w:tmpl w:val="884A16EC"/>
    <w:lvl w:ilvl="0">
      <w:start w:val="1"/>
      <w:numFmt w:val="bullet"/>
      <w:lvlText w:val=""/>
      <w:lvlJc w:val="left"/>
      <w:pPr>
        <w:tabs>
          <w:tab w:val="num" w:pos="360"/>
        </w:tabs>
        <w:ind w:left="360" w:hanging="360"/>
      </w:pPr>
      <w:rPr>
        <w:rFonts w:ascii="Symbol" w:hAnsi="Symbol" w:hint="default"/>
        <w:sz w:val="22"/>
      </w:rPr>
    </w:lvl>
  </w:abstractNum>
  <w:abstractNum w:abstractNumId="13" w15:restartNumberingAfterBreak="0">
    <w:nsid w:val="57BC0274"/>
    <w:multiLevelType w:val="hybridMultilevel"/>
    <w:tmpl w:val="9EBC10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3F31C52"/>
    <w:multiLevelType w:val="hybridMultilevel"/>
    <w:tmpl w:val="3B5CB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A70211C"/>
    <w:multiLevelType w:val="singleLevel"/>
    <w:tmpl w:val="884A16EC"/>
    <w:lvl w:ilvl="0">
      <w:start w:val="1"/>
      <w:numFmt w:val="bullet"/>
      <w:lvlText w:val=""/>
      <w:lvlJc w:val="left"/>
      <w:pPr>
        <w:tabs>
          <w:tab w:val="num" w:pos="360"/>
        </w:tabs>
        <w:ind w:left="360" w:hanging="360"/>
      </w:pPr>
      <w:rPr>
        <w:rFonts w:ascii="Symbol" w:hAnsi="Symbol" w:hint="default"/>
        <w:sz w:val="22"/>
      </w:rPr>
    </w:lvl>
  </w:abstractNum>
  <w:abstractNum w:abstractNumId="16" w15:restartNumberingAfterBreak="0">
    <w:nsid w:val="6D0B7D4A"/>
    <w:multiLevelType w:val="hybridMultilevel"/>
    <w:tmpl w:val="A01A73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F7062BE"/>
    <w:multiLevelType w:val="singleLevel"/>
    <w:tmpl w:val="884A16EC"/>
    <w:lvl w:ilvl="0">
      <w:start w:val="1"/>
      <w:numFmt w:val="bullet"/>
      <w:lvlText w:val=""/>
      <w:lvlJc w:val="left"/>
      <w:pPr>
        <w:tabs>
          <w:tab w:val="num" w:pos="360"/>
        </w:tabs>
        <w:ind w:left="360" w:hanging="360"/>
      </w:pPr>
      <w:rPr>
        <w:rFonts w:ascii="Symbol" w:hAnsi="Symbol" w:hint="default"/>
        <w:sz w:val="22"/>
      </w:rPr>
    </w:lvl>
  </w:abstractNum>
  <w:abstractNum w:abstractNumId="18" w15:restartNumberingAfterBreak="0">
    <w:nsid w:val="71516FF5"/>
    <w:multiLevelType w:val="singleLevel"/>
    <w:tmpl w:val="884A16EC"/>
    <w:lvl w:ilvl="0">
      <w:start w:val="1"/>
      <w:numFmt w:val="bullet"/>
      <w:lvlText w:val=""/>
      <w:lvlJc w:val="left"/>
      <w:pPr>
        <w:tabs>
          <w:tab w:val="num" w:pos="360"/>
        </w:tabs>
        <w:ind w:left="360" w:hanging="360"/>
      </w:pPr>
      <w:rPr>
        <w:rFonts w:ascii="Symbol" w:hAnsi="Symbol" w:hint="default"/>
        <w:sz w:val="22"/>
      </w:rPr>
    </w:lvl>
  </w:abstractNum>
  <w:abstractNum w:abstractNumId="19" w15:restartNumberingAfterBreak="0">
    <w:nsid w:val="7D446AD0"/>
    <w:multiLevelType w:val="hybridMultilevel"/>
    <w:tmpl w:val="E9D88B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ED20937"/>
    <w:multiLevelType w:val="hybridMultilevel"/>
    <w:tmpl w:val="668A3D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4"/>
  </w:num>
  <w:num w:numId="4">
    <w:abstractNumId w:val="10"/>
  </w:num>
  <w:num w:numId="5">
    <w:abstractNumId w:val="2"/>
  </w:num>
  <w:num w:numId="6">
    <w:abstractNumId w:val="19"/>
  </w:num>
  <w:num w:numId="7">
    <w:abstractNumId w:val="1"/>
  </w:num>
  <w:num w:numId="8">
    <w:abstractNumId w:val="16"/>
  </w:num>
  <w:num w:numId="9">
    <w:abstractNumId w:val="8"/>
  </w:num>
  <w:num w:numId="10">
    <w:abstractNumId w:val="11"/>
  </w:num>
  <w:num w:numId="11">
    <w:abstractNumId w:val="15"/>
  </w:num>
  <w:num w:numId="12">
    <w:abstractNumId w:val="18"/>
  </w:num>
  <w:num w:numId="13">
    <w:abstractNumId w:val="7"/>
  </w:num>
  <w:num w:numId="14">
    <w:abstractNumId w:val="17"/>
  </w:num>
  <w:num w:numId="15">
    <w:abstractNumId w:val="12"/>
  </w:num>
  <w:num w:numId="16">
    <w:abstractNumId w:val="9"/>
  </w:num>
  <w:num w:numId="17">
    <w:abstractNumId w:val="3"/>
  </w:num>
  <w:num w:numId="18">
    <w:abstractNumId w:val="5"/>
  </w:num>
  <w:num w:numId="19">
    <w:abstractNumId w:val="0"/>
  </w:num>
  <w:num w:numId="20">
    <w:abstractNumId w:val="2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BA"/>
    <w:rsid w:val="000570CE"/>
    <w:rsid w:val="00093336"/>
    <w:rsid w:val="00126A5E"/>
    <w:rsid w:val="0012761F"/>
    <w:rsid w:val="00147BE0"/>
    <w:rsid w:val="00157103"/>
    <w:rsid w:val="00180E0F"/>
    <w:rsid w:val="001B66C2"/>
    <w:rsid w:val="001D56DE"/>
    <w:rsid w:val="001D75BA"/>
    <w:rsid w:val="001F7E6B"/>
    <w:rsid w:val="002262A0"/>
    <w:rsid w:val="00232B37"/>
    <w:rsid w:val="00250079"/>
    <w:rsid w:val="002647CF"/>
    <w:rsid w:val="00272AB4"/>
    <w:rsid w:val="002A1238"/>
    <w:rsid w:val="002C707E"/>
    <w:rsid w:val="002D05BF"/>
    <w:rsid w:val="00326704"/>
    <w:rsid w:val="00336D38"/>
    <w:rsid w:val="00345BF0"/>
    <w:rsid w:val="00362A2C"/>
    <w:rsid w:val="0039069C"/>
    <w:rsid w:val="003A23C9"/>
    <w:rsid w:val="003C3AD7"/>
    <w:rsid w:val="003D1B36"/>
    <w:rsid w:val="00405946"/>
    <w:rsid w:val="004247DA"/>
    <w:rsid w:val="00444FBE"/>
    <w:rsid w:val="00464B5F"/>
    <w:rsid w:val="004B224D"/>
    <w:rsid w:val="0050021D"/>
    <w:rsid w:val="005716D6"/>
    <w:rsid w:val="00592431"/>
    <w:rsid w:val="005A48AA"/>
    <w:rsid w:val="005B2D10"/>
    <w:rsid w:val="005B7921"/>
    <w:rsid w:val="005E3112"/>
    <w:rsid w:val="005F25DD"/>
    <w:rsid w:val="0063335A"/>
    <w:rsid w:val="0077113D"/>
    <w:rsid w:val="00773E2F"/>
    <w:rsid w:val="00775BE5"/>
    <w:rsid w:val="0078391C"/>
    <w:rsid w:val="00787427"/>
    <w:rsid w:val="007E7C04"/>
    <w:rsid w:val="00800FE3"/>
    <w:rsid w:val="0081194C"/>
    <w:rsid w:val="008A1A32"/>
    <w:rsid w:val="008B1ABC"/>
    <w:rsid w:val="008B6551"/>
    <w:rsid w:val="008E7CD3"/>
    <w:rsid w:val="008F7743"/>
    <w:rsid w:val="00914586"/>
    <w:rsid w:val="00922677"/>
    <w:rsid w:val="00933BDE"/>
    <w:rsid w:val="00972BAB"/>
    <w:rsid w:val="009B1089"/>
    <w:rsid w:val="009D160B"/>
    <w:rsid w:val="00A509BA"/>
    <w:rsid w:val="00A768A6"/>
    <w:rsid w:val="00A971E5"/>
    <w:rsid w:val="00AC1234"/>
    <w:rsid w:val="00AD6F1E"/>
    <w:rsid w:val="00B231CB"/>
    <w:rsid w:val="00B25830"/>
    <w:rsid w:val="00B31FA9"/>
    <w:rsid w:val="00B3423C"/>
    <w:rsid w:val="00B54BEF"/>
    <w:rsid w:val="00B76AAE"/>
    <w:rsid w:val="00B91169"/>
    <w:rsid w:val="00BA77D9"/>
    <w:rsid w:val="00BB2370"/>
    <w:rsid w:val="00BF203F"/>
    <w:rsid w:val="00C35CA8"/>
    <w:rsid w:val="00CA754B"/>
    <w:rsid w:val="00CB0B27"/>
    <w:rsid w:val="00CE33F5"/>
    <w:rsid w:val="00D06FF5"/>
    <w:rsid w:val="00D44E84"/>
    <w:rsid w:val="00D57ED5"/>
    <w:rsid w:val="00D707FE"/>
    <w:rsid w:val="00DA4917"/>
    <w:rsid w:val="00DC4EE2"/>
    <w:rsid w:val="00DF4D45"/>
    <w:rsid w:val="00EB25F7"/>
    <w:rsid w:val="00EB5EF1"/>
    <w:rsid w:val="00EC6CB1"/>
    <w:rsid w:val="00ED4A6B"/>
    <w:rsid w:val="00F24269"/>
    <w:rsid w:val="00F444A7"/>
    <w:rsid w:val="00F53F66"/>
    <w:rsid w:val="00F622CE"/>
    <w:rsid w:val="00F81C04"/>
    <w:rsid w:val="00F92C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60DE4"/>
  <w15:chartTrackingRefBased/>
  <w15:docId w15:val="{739293E4-1E71-43F5-8008-F7B8330A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5BA"/>
    <w:pPr>
      <w:spacing w:after="0" w:line="240" w:lineRule="auto"/>
    </w:pPr>
    <w:rPr>
      <w:rFonts w:eastAsia="Times New Roman" w:cs="Times New Roman"/>
      <w:sz w:val="20"/>
      <w:szCs w:val="20"/>
      <w:lang w:val="en-GB" w:eastAsia="en-GB"/>
    </w:rPr>
  </w:style>
  <w:style w:type="paragraph" w:styleId="Heading3">
    <w:name w:val="heading 3"/>
    <w:basedOn w:val="Normal"/>
    <w:link w:val="Heading3Char"/>
    <w:uiPriority w:val="9"/>
    <w:semiHidden/>
    <w:unhideWhenUsed/>
    <w:qFormat/>
    <w:rsid w:val="00773E2F"/>
    <w:pPr>
      <w:keepNext/>
      <w:spacing w:before="40"/>
      <w:outlineLvl w:val="2"/>
    </w:pPr>
    <w:rPr>
      <w:rFonts w:ascii="Calibri Light" w:eastAsiaTheme="minorHAnsi" w:hAnsi="Calibri Light" w:cs="Calibri Light"/>
      <w:color w:val="1F3763"/>
      <w:sz w:val="24"/>
      <w:szCs w:val="24"/>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3">
    <w:name w:val="Plain Table 3"/>
    <w:basedOn w:val="TableNormal"/>
    <w:uiPriority w:val="43"/>
    <w:rsid w:val="001D75BA"/>
    <w:pPr>
      <w:spacing w:after="0" w:line="240" w:lineRule="auto"/>
    </w:pPr>
    <w:rPr>
      <w:rFonts w:eastAsia="Times New Roman" w:cs="Times New Roman"/>
      <w:sz w:val="20"/>
      <w:szCs w:val="20"/>
      <w:lang w:eastAsia="en-I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1D75BA"/>
    <w:pPr>
      <w:tabs>
        <w:tab w:val="center" w:pos="4513"/>
        <w:tab w:val="right" w:pos="9026"/>
      </w:tabs>
    </w:pPr>
  </w:style>
  <w:style w:type="character" w:customStyle="1" w:styleId="HeaderChar">
    <w:name w:val="Header Char"/>
    <w:basedOn w:val="DefaultParagraphFont"/>
    <w:link w:val="Header"/>
    <w:uiPriority w:val="99"/>
    <w:rsid w:val="001D75BA"/>
    <w:rPr>
      <w:rFonts w:eastAsia="Times New Roman" w:cs="Times New Roman"/>
      <w:sz w:val="20"/>
      <w:szCs w:val="20"/>
      <w:lang w:val="en-GB" w:eastAsia="en-GB"/>
    </w:rPr>
  </w:style>
  <w:style w:type="paragraph" w:styleId="Footer">
    <w:name w:val="footer"/>
    <w:basedOn w:val="Normal"/>
    <w:link w:val="FooterChar"/>
    <w:uiPriority w:val="99"/>
    <w:unhideWhenUsed/>
    <w:rsid w:val="001D75BA"/>
    <w:pPr>
      <w:tabs>
        <w:tab w:val="center" w:pos="4513"/>
        <w:tab w:val="right" w:pos="9026"/>
      </w:tabs>
    </w:pPr>
  </w:style>
  <w:style w:type="character" w:customStyle="1" w:styleId="FooterChar">
    <w:name w:val="Footer Char"/>
    <w:basedOn w:val="DefaultParagraphFont"/>
    <w:link w:val="Footer"/>
    <w:uiPriority w:val="99"/>
    <w:rsid w:val="001D75BA"/>
    <w:rPr>
      <w:rFonts w:eastAsia="Times New Roman" w:cs="Times New Roman"/>
      <w:sz w:val="20"/>
      <w:szCs w:val="20"/>
      <w:lang w:val="en-GB" w:eastAsia="en-GB"/>
    </w:rPr>
  </w:style>
  <w:style w:type="paragraph" w:styleId="ListParagraph">
    <w:name w:val="List Paragraph"/>
    <w:basedOn w:val="Normal"/>
    <w:link w:val="ListParagraphChar"/>
    <w:uiPriority w:val="34"/>
    <w:qFormat/>
    <w:rsid w:val="002D05BF"/>
    <w:pPr>
      <w:ind w:left="720"/>
      <w:contextualSpacing/>
    </w:pPr>
  </w:style>
  <w:style w:type="character" w:customStyle="1" w:styleId="ListParagraphChar">
    <w:name w:val="List Paragraph Char"/>
    <w:link w:val="ListParagraph"/>
    <w:uiPriority w:val="34"/>
    <w:locked/>
    <w:rsid w:val="009B1089"/>
    <w:rPr>
      <w:rFonts w:eastAsia="Times New Roman" w:cs="Times New Roman"/>
      <w:sz w:val="20"/>
      <w:szCs w:val="20"/>
      <w:lang w:val="en-GB" w:eastAsia="en-GB"/>
    </w:rPr>
  </w:style>
  <w:style w:type="paragraph" w:styleId="BodyTextIndent2">
    <w:name w:val="Body Text Indent 2"/>
    <w:basedOn w:val="Normal"/>
    <w:link w:val="BodyTextIndent2Char"/>
    <w:rsid w:val="00232B37"/>
    <w:pPr>
      <w:spacing w:after="120" w:line="480" w:lineRule="auto"/>
      <w:ind w:left="360"/>
    </w:pPr>
    <w:rPr>
      <w:rFonts w:ascii="Times New Roman" w:hAnsi="Times New Roman"/>
      <w:sz w:val="24"/>
      <w:szCs w:val="24"/>
      <w:lang w:val="en-US" w:eastAsia="en-US"/>
    </w:rPr>
  </w:style>
  <w:style w:type="character" w:customStyle="1" w:styleId="BodyTextIndent2Char">
    <w:name w:val="Body Text Indent 2 Char"/>
    <w:basedOn w:val="DefaultParagraphFont"/>
    <w:link w:val="BodyTextIndent2"/>
    <w:rsid w:val="00232B37"/>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232B37"/>
    <w:pPr>
      <w:spacing w:after="120"/>
      <w:ind w:left="283"/>
    </w:pPr>
  </w:style>
  <w:style w:type="character" w:customStyle="1" w:styleId="BodyTextIndentChar">
    <w:name w:val="Body Text Indent Char"/>
    <w:basedOn w:val="DefaultParagraphFont"/>
    <w:link w:val="BodyTextIndent"/>
    <w:uiPriority w:val="99"/>
    <w:rsid w:val="00232B37"/>
    <w:rPr>
      <w:rFonts w:eastAsia="Times New Roman" w:cs="Times New Roman"/>
      <w:sz w:val="20"/>
      <w:szCs w:val="20"/>
      <w:lang w:val="en-GB" w:eastAsia="en-GB"/>
    </w:rPr>
  </w:style>
  <w:style w:type="character" w:styleId="Hyperlink">
    <w:name w:val="Hyperlink"/>
    <w:basedOn w:val="DefaultParagraphFont"/>
    <w:unhideWhenUsed/>
    <w:rsid w:val="001F7E6B"/>
    <w:rPr>
      <w:color w:val="0563C1" w:themeColor="hyperlink"/>
      <w:u w:val="single"/>
    </w:rPr>
  </w:style>
  <w:style w:type="character" w:styleId="CommentReference">
    <w:name w:val="annotation reference"/>
    <w:basedOn w:val="DefaultParagraphFont"/>
    <w:uiPriority w:val="99"/>
    <w:semiHidden/>
    <w:unhideWhenUsed/>
    <w:rsid w:val="00773E2F"/>
    <w:rPr>
      <w:sz w:val="16"/>
      <w:szCs w:val="16"/>
    </w:rPr>
  </w:style>
  <w:style w:type="paragraph" w:styleId="CommentText">
    <w:name w:val="annotation text"/>
    <w:basedOn w:val="Normal"/>
    <w:link w:val="CommentTextChar"/>
    <w:uiPriority w:val="99"/>
    <w:semiHidden/>
    <w:unhideWhenUsed/>
    <w:rsid w:val="00773E2F"/>
  </w:style>
  <w:style w:type="character" w:customStyle="1" w:styleId="CommentTextChar">
    <w:name w:val="Comment Text Char"/>
    <w:basedOn w:val="DefaultParagraphFont"/>
    <w:link w:val="CommentText"/>
    <w:uiPriority w:val="99"/>
    <w:semiHidden/>
    <w:rsid w:val="00773E2F"/>
    <w:rPr>
      <w:rFonts w:eastAsia="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73E2F"/>
    <w:rPr>
      <w:b/>
      <w:bCs/>
    </w:rPr>
  </w:style>
  <w:style w:type="character" w:customStyle="1" w:styleId="CommentSubjectChar">
    <w:name w:val="Comment Subject Char"/>
    <w:basedOn w:val="CommentTextChar"/>
    <w:link w:val="CommentSubject"/>
    <w:uiPriority w:val="99"/>
    <w:semiHidden/>
    <w:rsid w:val="00773E2F"/>
    <w:rPr>
      <w:rFonts w:eastAsia="Times New Roman" w:cs="Times New Roman"/>
      <w:b/>
      <w:bCs/>
      <w:sz w:val="20"/>
      <w:szCs w:val="20"/>
      <w:lang w:val="en-GB" w:eastAsia="en-GB"/>
    </w:rPr>
  </w:style>
  <w:style w:type="paragraph" w:styleId="BalloonText">
    <w:name w:val="Balloon Text"/>
    <w:basedOn w:val="Normal"/>
    <w:link w:val="BalloonTextChar"/>
    <w:uiPriority w:val="99"/>
    <w:semiHidden/>
    <w:unhideWhenUsed/>
    <w:rsid w:val="00773E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E2F"/>
    <w:rPr>
      <w:rFonts w:ascii="Segoe UI" w:eastAsia="Times New Roman" w:hAnsi="Segoe UI" w:cs="Segoe UI"/>
      <w:sz w:val="18"/>
      <w:szCs w:val="18"/>
      <w:lang w:val="en-GB" w:eastAsia="en-GB"/>
    </w:rPr>
  </w:style>
  <w:style w:type="character" w:customStyle="1" w:styleId="Heading3Char">
    <w:name w:val="Heading 3 Char"/>
    <w:basedOn w:val="DefaultParagraphFont"/>
    <w:link w:val="Heading3"/>
    <w:uiPriority w:val="9"/>
    <w:semiHidden/>
    <w:rsid w:val="00773E2F"/>
    <w:rPr>
      <w:rFonts w:ascii="Calibri Light" w:hAnsi="Calibri Light" w:cs="Calibri Light"/>
      <w:color w:val="1F3763"/>
      <w:sz w:val="24"/>
      <w:szCs w:val="24"/>
    </w:rPr>
  </w:style>
  <w:style w:type="paragraph" w:customStyle="1" w:styleId="Default">
    <w:name w:val="Default"/>
    <w:rsid w:val="00787427"/>
    <w:pPr>
      <w:autoSpaceDE w:val="0"/>
      <w:autoSpaceDN w:val="0"/>
      <w:adjustRightInd w:val="0"/>
      <w:spacing w:after="0" w:line="240" w:lineRule="auto"/>
    </w:pPr>
    <w:rPr>
      <w:rFonts w:cs="Verdana"/>
      <w:color w:val="000000"/>
      <w:sz w:val="24"/>
      <w:szCs w:val="24"/>
      <w:lang w:val="en-GB"/>
    </w:rPr>
  </w:style>
  <w:style w:type="paragraph" w:styleId="NoSpacing">
    <w:name w:val="No Spacing"/>
    <w:uiPriority w:val="1"/>
    <w:qFormat/>
    <w:rsid w:val="005B2D10"/>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303832">
      <w:bodyDiv w:val="1"/>
      <w:marLeft w:val="0"/>
      <w:marRight w:val="0"/>
      <w:marTop w:val="0"/>
      <w:marBottom w:val="0"/>
      <w:divBdr>
        <w:top w:val="none" w:sz="0" w:space="0" w:color="auto"/>
        <w:left w:val="none" w:sz="0" w:space="0" w:color="auto"/>
        <w:bottom w:val="none" w:sz="0" w:space="0" w:color="auto"/>
        <w:right w:val="none" w:sz="0" w:space="0" w:color="auto"/>
      </w:divBdr>
    </w:div>
    <w:div w:id="834957138">
      <w:bodyDiv w:val="1"/>
      <w:marLeft w:val="0"/>
      <w:marRight w:val="0"/>
      <w:marTop w:val="0"/>
      <w:marBottom w:val="0"/>
      <w:divBdr>
        <w:top w:val="none" w:sz="0" w:space="0" w:color="auto"/>
        <w:left w:val="none" w:sz="0" w:space="0" w:color="auto"/>
        <w:bottom w:val="none" w:sz="0" w:space="0" w:color="auto"/>
        <w:right w:val="none" w:sz="0" w:space="0" w:color="auto"/>
      </w:divBdr>
    </w:div>
    <w:div w:id="992634938">
      <w:bodyDiv w:val="1"/>
      <w:marLeft w:val="0"/>
      <w:marRight w:val="0"/>
      <w:marTop w:val="0"/>
      <w:marBottom w:val="0"/>
      <w:divBdr>
        <w:top w:val="none" w:sz="0" w:space="0" w:color="auto"/>
        <w:left w:val="none" w:sz="0" w:space="0" w:color="auto"/>
        <w:bottom w:val="none" w:sz="0" w:space="0" w:color="auto"/>
        <w:right w:val="none" w:sz="0" w:space="0" w:color="auto"/>
      </w:divBdr>
    </w:div>
    <w:div w:id="157797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er.gov.ie/pens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uman.resources@nsai.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7f0bf64a-543e-4b93-aaa1-b7ecb2a829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87F749813A204393EC78F5C1DBE850" ma:contentTypeVersion="1" ma:contentTypeDescription="Create a new document." ma:contentTypeScope="" ma:versionID="88eeafe8997b3558a4279ce5941c3473">
  <xsd:schema xmlns:xsd="http://www.w3.org/2001/XMLSchema" xmlns:xs="http://www.w3.org/2001/XMLSchema" xmlns:p="http://schemas.microsoft.com/office/2006/metadata/properties" xmlns:ns2="7f0bf64a-543e-4b93-aaa1-b7ecb2a82988" targetNamespace="http://schemas.microsoft.com/office/2006/metadata/properties" ma:root="true" ma:fieldsID="c1ccfea11a9b8ad79ac58b479b7a2b57" ns2:_="">
    <xsd:import namespace="7f0bf64a-543e-4b93-aaa1-b7ecb2a82988"/>
    <xsd:element name="properties">
      <xsd:complexType>
        <xsd:sequence>
          <xsd:element name="documentManagement">
            <xsd:complexType>
              <xsd:all>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bf64a-543e-4b93-aaa1-b7ecb2a82988"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373ED-3A8C-4C45-B48E-29AD01ED1ACB}">
  <ds:schemaRefs>
    <ds:schemaRef ds:uri="http://schemas.microsoft.com/sharepoint/v3/contenttype/forms"/>
  </ds:schemaRefs>
</ds:datastoreItem>
</file>

<file path=customXml/itemProps2.xml><?xml version="1.0" encoding="utf-8"?>
<ds:datastoreItem xmlns:ds="http://schemas.openxmlformats.org/officeDocument/2006/customXml" ds:itemID="{8C65887C-6D03-4593-9A44-544BB82AD432}">
  <ds:schemaRefs>
    <ds:schemaRef ds:uri="http://schemas.microsoft.com/office/2006/metadata/properties"/>
    <ds:schemaRef ds:uri="http://schemas.microsoft.com/office/infopath/2007/PartnerControls"/>
    <ds:schemaRef ds:uri="7f0bf64a-543e-4b93-aaa1-b7ecb2a82988"/>
  </ds:schemaRefs>
</ds:datastoreItem>
</file>

<file path=customXml/itemProps3.xml><?xml version="1.0" encoding="utf-8"?>
<ds:datastoreItem xmlns:ds="http://schemas.openxmlformats.org/officeDocument/2006/customXml" ds:itemID="{74F58D5F-623A-4730-9CA3-E1FB9F57A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bf64a-543e-4b93-aaa1-b7ecb2a82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D80F7A-F44D-4A2A-A144-3A455A06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Hoare</dc:creator>
  <cp:keywords/>
  <dc:description/>
  <cp:lastModifiedBy>Dawn Lonergan</cp:lastModifiedBy>
  <cp:revision>2</cp:revision>
  <cp:lastPrinted>2019-01-14T12:04:00Z</cp:lastPrinted>
  <dcterms:created xsi:type="dcterms:W3CDTF">2019-01-15T10:47:00Z</dcterms:created>
  <dcterms:modified xsi:type="dcterms:W3CDTF">2019-01-15T10:47:00Z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0x010100D387F749813A204393EC78F5C1DBE850</vt:lpwstr>
  </property>
</Properties>
</file>